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1D10" w14:textId="115F5F25" w:rsidR="003C5BB2" w:rsidRPr="003C5BB2" w:rsidRDefault="003C5BB2">
      <w:pPr>
        <w:pStyle w:val="Caption"/>
        <w:spacing w:before="240" w:after="120"/>
        <w:rPr>
          <w:b w:val="0"/>
          <w:bCs w:val="0"/>
          <w:iCs/>
          <w:smallCaps w:val="0"/>
          <w:sz w:val="20"/>
          <w:szCs w:val="20"/>
        </w:rPr>
      </w:pPr>
      <w:r w:rsidRPr="003C5BB2">
        <w:rPr>
          <w:iCs/>
          <w:smallCaps w:val="0"/>
          <w:sz w:val="20"/>
          <w:szCs w:val="20"/>
        </w:rPr>
        <w:t>Target Roles:</w:t>
      </w:r>
      <w:r w:rsidR="00FC71E7" w:rsidRPr="00FC71E7">
        <w:rPr>
          <w:smallCaps w:val="0"/>
        </w:rPr>
        <w:t xml:space="preserve"> </w:t>
      </w:r>
      <w:r w:rsidR="00FC71E7" w:rsidRPr="00FC71E7">
        <w:rPr>
          <w:b w:val="0"/>
          <w:bCs w:val="0"/>
          <w:iCs/>
          <w:smallCaps w:val="0"/>
          <w:sz w:val="20"/>
          <w:szCs w:val="20"/>
        </w:rPr>
        <w:t xml:space="preserve">Fraud Investigator, Risk Analyst, Intelligence Analyst, Compliance Analyst, </w:t>
      </w:r>
      <w:r w:rsidR="00780872">
        <w:rPr>
          <w:b w:val="0"/>
          <w:bCs w:val="0"/>
          <w:iCs/>
          <w:smallCaps w:val="0"/>
          <w:sz w:val="20"/>
          <w:szCs w:val="20"/>
        </w:rPr>
        <w:t>Data Analyst</w:t>
      </w:r>
    </w:p>
    <w:p w14:paraId="2000CA9A" w14:textId="109FB652" w:rsidR="009C7E40" w:rsidRDefault="009C7E40">
      <w:pPr>
        <w:pStyle w:val="Caption"/>
        <w:spacing w:before="240" w:after="120"/>
        <w:rPr>
          <w:sz w:val="20"/>
          <w:szCs w:val="20"/>
        </w:rPr>
      </w:pPr>
      <w:r>
        <w:rPr>
          <w:sz w:val="20"/>
          <w:szCs w:val="20"/>
        </w:rPr>
        <w:t>Summary</w:t>
      </w:r>
    </w:p>
    <w:p w14:paraId="506B3D9F" w14:textId="77777777" w:rsidR="00BE2A90" w:rsidRDefault="00BE2A90" w:rsidP="00BE2A90">
      <w:pPr>
        <w:pStyle w:val="Caption"/>
        <w:spacing w:before="240" w:after="120"/>
        <w:jc w:val="left"/>
        <w:rPr>
          <w:b w:val="0"/>
          <w:bCs w:val="0"/>
          <w:iCs/>
          <w:smallCaps w:val="0"/>
          <w:sz w:val="20"/>
          <w:szCs w:val="20"/>
        </w:rPr>
      </w:pPr>
      <w:r w:rsidRPr="00BE2A90">
        <w:rPr>
          <w:b w:val="0"/>
          <w:bCs w:val="0"/>
          <w:iCs/>
          <w:smallCaps w:val="0"/>
          <w:sz w:val="20"/>
          <w:szCs w:val="20"/>
        </w:rPr>
        <w:t>Investigative and risk-focused analyst with 3 years of federal experience uncovering fraud, tracing financial flows, and delivering actionable insights. Presidential Management Fellow and graduated top of my class at Johns Hopkins University – SAIS. Proven track record in managing civil and criminal investigations, data analysis, building analytical tools, and collaborating across agencies to drive enforcement and risk mitigation. Skilled in Power BI, Excel, and OSINT platforms. Top Secret Clearance (2025). Passionate about applying intelligence and analytical rigor to protect systems, assets, and organizations from fraud and financial crime. Now seeking to apply my expertise to private-sector fraud investigation and risk analysis roles.</w:t>
      </w:r>
    </w:p>
    <w:p w14:paraId="359FF791" w14:textId="1066BCF2" w:rsidR="00714B27" w:rsidRDefault="00D564D1" w:rsidP="009C7E40">
      <w:pPr>
        <w:pStyle w:val="Caption"/>
        <w:spacing w:before="240" w:after="120"/>
        <w:rPr>
          <w:sz w:val="20"/>
          <w:szCs w:val="20"/>
        </w:rPr>
      </w:pPr>
      <w:r w:rsidRPr="00B600C3">
        <w:rPr>
          <w:sz w:val="20"/>
          <w:szCs w:val="20"/>
        </w:rPr>
        <w:t>Experience</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768"/>
        <w:gridCol w:w="3060"/>
      </w:tblGrid>
      <w:tr w:rsidR="004A0107" w:rsidRPr="00B600C3" w14:paraId="664BF367" w14:textId="77777777" w:rsidTr="008A1827">
        <w:trPr>
          <w:jc w:val="center"/>
        </w:trPr>
        <w:tc>
          <w:tcPr>
            <w:tcW w:w="6768" w:type="dxa"/>
            <w:tcBorders>
              <w:top w:val="nil"/>
              <w:left w:val="nil"/>
              <w:bottom w:val="nil"/>
              <w:right w:val="nil"/>
            </w:tcBorders>
          </w:tcPr>
          <w:p w14:paraId="1531C8C6" w14:textId="6C5F46E9" w:rsidR="004A0107" w:rsidRPr="00B600C3" w:rsidRDefault="004A0107" w:rsidP="004A0107">
            <w:pPr>
              <w:spacing w:before="240"/>
              <w:rPr>
                <w:b/>
                <w:bCs/>
                <w:sz w:val="20"/>
                <w:szCs w:val="20"/>
              </w:rPr>
            </w:pPr>
            <w:r>
              <w:rPr>
                <w:b/>
                <w:bCs/>
                <w:sz w:val="20"/>
                <w:szCs w:val="20"/>
              </w:rPr>
              <w:t>Merian Ventures</w:t>
            </w:r>
          </w:p>
        </w:tc>
        <w:tc>
          <w:tcPr>
            <w:tcW w:w="3060" w:type="dxa"/>
            <w:tcBorders>
              <w:top w:val="nil"/>
              <w:left w:val="nil"/>
              <w:bottom w:val="nil"/>
              <w:right w:val="nil"/>
            </w:tcBorders>
          </w:tcPr>
          <w:p w14:paraId="31F022E8" w14:textId="39EB4B07" w:rsidR="004A0107" w:rsidRPr="003653B8" w:rsidRDefault="004A0107" w:rsidP="008A1827">
            <w:pPr>
              <w:pStyle w:val="Heading4"/>
              <w:rPr>
                <w:sz w:val="20"/>
                <w:szCs w:val="20"/>
              </w:rPr>
            </w:pPr>
            <w:r>
              <w:rPr>
                <w:sz w:val="20"/>
                <w:szCs w:val="20"/>
              </w:rPr>
              <w:t>Jul</w:t>
            </w:r>
            <w:r w:rsidR="00C20F88">
              <w:rPr>
                <w:sz w:val="20"/>
                <w:szCs w:val="20"/>
              </w:rPr>
              <w:t>y</w:t>
            </w:r>
            <w:r w:rsidRPr="003653B8">
              <w:rPr>
                <w:sz w:val="20"/>
                <w:szCs w:val="20"/>
              </w:rPr>
              <w:t xml:space="preserve"> </w:t>
            </w:r>
            <w:r>
              <w:rPr>
                <w:sz w:val="20"/>
                <w:szCs w:val="20"/>
              </w:rPr>
              <w:t>2025 - Present</w:t>
            </w:r>
          </w:p>
          <w:p w14:paraId="6477E2FD" w14:textId="77777777" w:rsidR="004A0107" w:rsidRPr="00B600C3" w:rsidRDefault="004A0107" w:rsidP="008A1827">
            <w:pPr>
              <w:pStyle w:val="Heading4"/>
              <w:rPr>
                <w:sz w:val="20"/>
                <w:szCs w:val="20"/>
              </w:rPr>
            </w:pPr>
            <w:r>
              <w:rPr>
                <w:sz w:val="20"/>
                <w:szCs w:val="20"/>
              </w:rPr>
              <w:t>San Francisco</w:t>
            </w:r>
            <w:r w:rsidRPr="00B600C3">
              <w:rPr>
                <w:sz w:val="20"/>
                <w:szCs w:val="20"/>
              </w:rPr>
              <w:t xml:space="preserve">, </w:t>
            </w:r>
            <w:r>
              <w:rPr>
                <w:sz w:val="20"/>
                <w:szCs w:val="20"/>
              </w:rPr>
              <w:t>California</w:t>
            </w:r>
          </w:p>
        </w:tc>
      </w:tr>
      <w:tr w:rsidR="004A0107" w:rsidRPr="00B600C3" w14:paraId="59D9F306" w14:textId="77777777" w:rsidTr="008A1827">
        <w:trPr>
          <w:gridAfter w:val="1"/>
          <w:wAfter w:w="3060" w:type="dxa"/>
          <w:jc w:val="center"/>
        </w:trPr>
        <w:tc>
          <w:tcPr>
            <w:tcW w:w="6768" w:type="dxa"/>
            <w:tcBorders>
              <w:top w:val="nil"/>
              <w:left w:val="nil"/>
              <w:bottom w:val="nil"/>
              <w:right w:val="nil"/>
            </w:tcBorders>
          </w:tcPr>
          <w:p w14:paraId="0AC59B0D" w14:textId="7FA1C96F" w:rsidR="004A0107" w:rsidRPr="00B600C3" w:rsidRDefault="004A0107" w:rsidP="008A1827">
            <w:pPr>
              <w:rPr>
                <w:b/>
                <w:bCs/>
                <w:sz w:val="20"/>
                <w:szCs w:val="20"/>
              </w:rPr>
            </w:pPr>
          </w:p>
        </w:tc>
      </w:tr>
    </w:tbl>
    <w:p w14:paraId="139F7F0C" w14:textId="19ADBAC2" w:rsidR="004A0107" w:rsidRDefault="003C5BB2" w:rsidP="003C5BB2">
      <w:pPr>
        <w:rPr>
          <w:iCs/>
          <w:sz w:val="20"/>
          <w:szCs w:val="20"/>
        </w:rPr>
      </w:pPr>
      <w:r>
        <w:rPr>
          <w:b/>
          <w:bCs/>
          <w:sz w:val="20"/>
          <w:szCs w:val="20"/>
        </w:rPr>
        <w:t xml:space="preserve">    </w:t>
      </w:r>
      <w:r w:rsidR="00433EBB">
        <w:rPr>
          <w:b/>
          <w:bCs/>
          <w:sz w:val="20"/>
          <w:szCs w:val="20"/>
        </w:rPr>
        <w:t xml:space="preserve">Research Data </w:t>
      </w:r>
      <w:r w:rsidR="004A0107">
        <w:rPr>
          <w:b/>
          <w:bCs/>
          <w:sz w:val="20"/>
          <w:szCs w:val="20"/>
        </w:rPr>
        <w:t>Analyst</w:t>
      </w:r>
    </w:p>
    <w:p w14:paraId="7334FC75" w14:textId="0AFFE5D8" w:rsidR="004A0107" w:rsidRDefault="004A0107" w:rsidP="00433EBB">
      <w:pPr>
        <w:numPr>
          <w:ilvl w:val="0"/>
          <w:numId w:val="1"/>
        </w:numPr>
        <w:tabs>
          <w:tab w:val="num" w:pos="360"/>
        </w:tabs>
        <w:ind w:left="360" w:hanging="180"/>
        <w:rPr>
          <w:iCs/>
          <w:sz w:val="20"/>
          <w:szCs w:val="20"/>
        </w:rPr>
      </w:pPr>
      <w:r w:rsidRPr="004A0107">
        <w:rPr>
          <w:iCs/>
          <w:sz w:val="20"/>
          <w:szCs w:val="20"/>
        </w:rPr>
        <w:t xml:space="preserve">Evaluated investment opportunities through comprehensive financial modeling and market research, enhancing decision-making processes. </w:t>
      </w:r>
    </w:p>
    <w:p w14:paraId="46F787E9" w14:textId="1D9829F1" w:rsidR="00433EBB" w:rsidRDefault="00433EBB" w:rsidP="00433EBB">
      <w:pPr>
        <w:numPr>
          <w:ilvl w:val="0"/>
          <w:numId w:val="1"/>
        </w:numPr>
        <w:tabs>
          <w:tab w:val="num" w:pos="360"/>
        </w:tabs>
        <w:ind w:left="360" w:hanging="180"/>
        <w:rPr>
          <w:iCs/>
          <w:sz w:val="20"/>
          <w:szCs w:val="20"/>
        </w:rPr>
      </w:pPr>
      <w:r w:rsidRPr="004A0107">
        <w:rPr>
          <w:iCs/>
          <w:sz w:val="20"/>
          <w:szCs w:val="20"/>
        </w:rPr>
        <w:t>Developed complex financial models and conducted valuation analyses, leading to informed investment strategies.</w:t>
      </w:r>
    </w:p>
    <w:p w14:paraId="6795194B" w14:textId="6AD72E39" w:rsidR="00433EBB" w:rsidRPr="004A0107" w:rsidRDefault="00433EBB" w:rsidP="00433EBB">
      <w:pPr>
        <w:numPr>
          <w:ilvl w:val="0"/>
          <w:numId w:val="1"/>
        </w:numPr>
        <w:tabs>
          <w:tab w:val="num" w:pos="360"/>
        </w:tabs>
        <w:ind w:left="360" w:hanging="180"/>
        <w:rPr>
          <w:iCs/>
          <w:sz w:val="20"/>
          <w:szCs w:val="20"/>
        </w:rPr>
      </w:pPr>
      <w:r w:rsidRPr="004A0107">
        <w:rPr>
          <w:iCs/>
          <w:sz w:val="20"/>
          <w:szCs w:val="20"/>
        </w:rPr>
        <w:t>Performed in-depth company and industry research, providing valuable insights that contributed to successful investment outcomes.</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768"/>
        <w:gridCol w:w="3060"/>
      </w:tblGrid>
      <w:tr w:rsidR="00381E2E" w:rsidRPr="00B600C3" w14:paraId="01E77D13" w14:textId="77777777">
        <w:trPr>
          <w:jc w:val="center"/>
        </w:trPr>
        <w:tc>
          <w:tcPr>
            <w:tcW w:w="6768" w:type="dxa"/>
            <w:tcBorders>
              <w:top w:val="nil"/>
              <w:left w:val="nil"/>
              <w:bottom w:val="nil"/>
              <w:right w:val="nil"/>
            </w:tcBorders>
          </w:tcPr>
          <w:p w14:paraId="6AA01FC8" w14:textId="748FEE01" w:rsidR="00381E2E" w:rsidRPr="00FE2F49" w:rsidRDefault="00B72FC5">
            <w:pPr>
              <w:spacing w:before="240"/>
              <w:rPr>
                <w:b/>
                <w:bCs/>
                <w:sz w:val="20"/>
                <w:szCs w:val="20"/>
              </w:rPr>
            </w:pPr>
            <w:r>
              <w:rPr>
                <w:b/>
                <w:bCs/>
                <w:sz w:val="20"/>
                <w:szCs w:val="20"/>
              </w:rPr>
              <w:t xml:space="preserve">U.S. </w:t>
            </w:r>
            <w:r w:rsidR="00381E2E">
              <w:rPr>
                <w:b/>
                <w:bCs/>
                <w:sz w:val="20"/>
                <w:szCs w:val="20"/>
              </w:rPr>
              <w:t>Department of Labor – Employee Benefits Security Administration – Office of Enforcement – San Francisco Regional Office</w:t>
            </w:r>
            <w:r w:rsidR="00381E2E" w:rsidRPr="00FE2F49">
              <w:rPr>
                <w:sz w:val="20"/>
                <w:szCs w:val="20"/>
              </w:rPr>
              <w:t xml:space="preserve"> </w:t>
            </w:r>
          </w:p>
          <w:p w14:paraId="1BF01AAB" w14:textId="77777777" w:rsidR="00381E2E" w:rsidRPr="00B600C3" w:rsidRDefault="00381E2E">
            <w:pPr>
              <w:rPr>
                <w:b/>
                <w:bCs/>
                <w:sz w:val="20"/>
                <w:szCs w:val="20"/>
              </w:rPr>
            </w:pPr>
          </w:p>
        </w:tc>
        <w:tc>
          <w:tcPr>
            <w:tcW w:w="3060" w:type="dxa"/>
            <w:tcBorders>
              <w:top w:val="nil"/>
              <w:left w:val="nil"/>
              <w:bottom w:val="nil"/>
              <w:right w:val="nil"/>
            </w:tcBorders>
          </w:tcPr>
          <w:p w14:paraId="653BD1E2" w14:textId="7B127A26" w:rsidR="00381E2E" w:rsidRPr="003653B8" w:rsidRDefault="00381E2E">
            <w:pPr>
              <w:pStyle w:val="Heading4"/>
              <w:rPr>
                <w:sz w:val="20"/>
                <w:szCs w:val="20"/>
              </w:rPr>
            </w:pPr>
            <w:r>
              <w:rPr>
                <w:sz w:val="20"/>
                <w:szCs w:val="20"/>
              </w:rPr>
              <w:t>Aug.</w:t>
            </w:r>
            <w:r w:rsidRPr="003653B8">
              <w:rPr>
                <w:sz w:val="20"/>
                <w:szCs w:val="20"/>
              </w:rPr>
              <w:t xml:space="preserve"> 202</w:t>
            </w:r>
            <w:r>
              <w:rPr>
                <w:sz w:val="20"/>
                <w:szCs w:val="20"/>
              </w:rPr>
              <w:t>2</w:t>
            </w:r>
            <w:r w:rsidRPr="003653B8">
              <w:rPr>
                <w:sz w:val="20"/>
                <w:szCs w:val="20"/>
              </w:rPr>
              <w:t xml:space="preserve"> – </w:t>
            </w:r>
            <w:r w:rsidR="00F96EAF">
              <w:rPr>
                <w:sz w:val="20"/>
                <w:szCs w:val="20"/>
              </w:rPr>
              <w:t>Feb. 2025</w:t>
            </w:r>
          </w:p>
          <w:p w14:paraId="42EFBB0B" w14:textId="77777777" w:rsidR="00381E2E" w:rsidRPr="00B600C3" w:rsidRDefault="00381E2E">
            <w:pPr>
              <w:pStyle w:val="Heading4"/>
              <w:rPr>
                <w:sz w:val="20"/>
                <w:szCs w:val="20"/>
              </w:rPr>
            </w:pPr>
            <w:r>
              <w:rPr>
                <w:sz w:val="20"/>
                <w:szCs w:val="20"/>
              </w:rPr>
              <w:t>San Francisco</w:t>
            </w:r>
            <w:r w:rsidRPr="00B600C3">
              <w:rPr>
                <w:sz w:val="20"/>
                <w:szCs w:val="20"/>
              </w:rPr>
              <w:t xml:space="preserve">, </w:t>
            </w:r>
            <w:r>
              <w:rPr>
                <w:sz w:val="20"/>
                <w:szCs w:val="20"/>
              </w:rPr>
              <w:t>California</w:t>
            </w:r>
          </w:p>
        </w:tc>
      </w:tr>
      <w:tr w:rsidR="00381E2E" w:rsidRPr="00B600C3" w14:paraId="694B2820" w14:textId="77777777">
        <w:trPr>
          <w:gridAfter w:val="1"/>
          <w:wAfter w:w="3060" w:type="dxa"/>
          <w:jc w:val="center"/>
        </w:trPr>
        <w:tc>
          <w:tcPr>
            <w:tcW w:w="6768" w:type="dxa"/>
            <w:tcBorders>
              <w:top w:val="nil"/>
              <w:left w:val="nil"/>
              <w:bottom w:val="nil"/>
              <w:right w:val="nil"/>
            </w:tcBorders>
          </w:tcPr>
          <w:p w14:paraId="28B600D8" w14:textId="467A6F3A" w:rsidR="00381E2E" w:rsidRPr="00B600C3" w:rsidRDefault="00381E2E">
            <w:pPr>
              <w:rPr>
                <w:b/>
                <w:bCs/>
                <w:sz w:val="20"/>
                <w:szCs w:val="20"/>
              </w:rPr>
            </w:pPr>
            <w:r>
              <w:rPr>
                <w:b/>
                <w:bCs/>
                <w:sz w:val="20"/>
                <w:szCs w:val="20"/>
              </w:rPr>
              <w:t>Employee Benefits Investigator</w:t>
            </w:r>
            <w:r w:rsidRPr="00B600C3">
              <w:rPr>
                <w:b/>
                <w:bCs/>
                <w:sz w:val="20"/>
                <w:szCs w:val="20"/>
              </w:rPr>
              <w:t xml:space="preserve"> </w:t>
            </w:r>
            <w:r>
              <w:rPr>
                <w:b/>
                <w:bCs/>
                <w:sz w:val="20"/>
                <w:szCs w:val="20"/>
              </w:rPr>
              <w:t>(Presidential Management Fellow)</w:t>
            </w:r>
          </w:p>
        </w:tc>
      </w:tr>
    </w:tbl>
    <w:p w14:paraId="7DEA7759" w14:textId="77777777" w:rsidR="00433EBB" w:rsidRDefault="009C7E40" w:rsidP="00433EBB">
      <w:pPr>
        <w:numPr>
          <w:ilvl w:val="0"/>
          <w:numId w:val="1"/>
        </w:numPr>
        <w:tabs>
          <w:tab w:val="num" w:pos="360"/>
        </w:tabs>
        <w:ind w:left="360" w:hanging="180"/>
        <w:rPr>
          <w:iCs/>
          <w:sz w:val="20"/>
          <w:szCs w:val="20"/>
        </w:rPr>
      </w:pPr>
      <w:r w:rsidRPr="009C7E40">
        <w:rPr>
          <w:iCs/>
          <w:sz w:val="20"/>
          <w:szCs w:val="20"/>
        </w:rPr>
        <w:t>Led</w:t>
      </w:r>
      <w:r w:rsidR="00433EBB" w:rsidRPr="00433EBB">
        <w:rPr>
          <w:iCs/>
          <w:sz w:val="20"/>
          <w:szCs w:val="20"/>
        </w:rPr>
        <w:t xml:space="preserve"> and managed civil investigations, coordinating complex investigative steps, writing and delivering subpoenas, in-depth analyses, and interviews—one case resulted in the recovery of over $13 million in participant funds</w:t>
      </w:r>
    </w:p>
    <w:p w14:paraId="0FABBC40" w14:textId="77777777" w:rsidR="00433EBB" w:rsidRDefault="00433EBB" w:rsidP="00433EBB">
      <w:pPr>
        <w:numPr>
          <w:ilvl w:val="0"/>
          <w:numId w:val="1"/>
        </w:numPr>
        <w:tabs>
          <w:tab w:val="num" w:pos="360"/>
        </w:tabs>
        <w:ind w:left="360" w:hanging="180"/>
        <w:rPr>
          <w:iCs/>
          <w:sz w:val="20"/>
          <w:szCs w:val="20"/>
        </w:rPr>
      </w:pPr>
      <w:r w:rsidRPr="00433EBB">
        <w:rPr>
          <w:iCs/>
          <w:sz w:val="20"/>
          <w:szCs w:val="20"/>
        </w:rPr>
        <w:t xml:space="preserve">Led and managed criminal investigations, authoring referral memos to the Assistant U.S. Attorney Offices by investigating fraud, bribery, and embezzlement. </w:t>
      </w:r>
    </w:p>
    <w:p w14:paraId="623D873B" w14:textId="77777777" w:rsidR="00433EBB" w:rsidRDefault="00433EBB" w:rsidP="00433EBB">
      <w:pPr>
        <w:numPr>
          <w:ilvl w:val="0"/>
          <w:numId w:val="1"/>
        </w:numPr>
        <w:tabs>
          <w:tab w:val="num" w:pos="360"/>
        </w:tabs>
        <w:ind w:left="360" w:hanging="180"/>
        <w:rPr>
          <w:iCs/>
          <w:sz w:val="20"/>
          <w:szCs w:val="20"/>
        </w:rPr>
      </w:pPr>
      <w:r w:rsidRPr="00433EBB">
        <w:rPr>
          <w:iCs/>
          <w:sz w:val="20"/>
          <w:szCs w:val="20"/>
        </w:rPr>
        <w:t>Recovered $500,000+ in overdue payments for a cancer patient facing debt collections by leading a comprehensive claims investigation, holding third-party administrators accountable for immediate fund disbursement.</w:t>
      </w:r>
    </w:p>
    <w:p w14:paraId="7253EDC6" w14:textId="77B47D72" w:rsidR="000533A4" w:rsidRDefault="00433EBB" w:rsidP="00433EBB">
      <w:pPr>
        <w:numPr>
          <w:ilvl w:val="0"/>
          <w:numId w:val="1"/>
        </w:numPr>
        <w:tabs>
          <w:tab w:val="num" w:pos="360"/>
        </w:tabs>
        <w:ind w:left="360" w:hanging="180"/>
        <w:rPr>
          <w:iCs/>
          <w:sz w:val="20"/>
          <w:szCs w:val="20"/>
        </w:rPr>
      </w:pPr>
      <w:r w:rsidRPr="00433EBB">
        <w:rPr>
          <w:iCs/>
          <w:sz w:val="20"/>
          <w:szCs w:val="20"/>
        </w:rPr>
        <w:t>Achieved outstanding performance ratings, closing cases ahead of deadlines, including one under a 14-month timeline completed in less than two months.</w:t>
      </w:r>
    </w:p>
    <w:p w14:paraId="38F2201B" w14:textId="77777777" w:rsidR="00433EBB" w:rsidRDefault="00433EBB" w:rsidP="00433EBB">
      <w:pPr>
        <w:ind w:left="360"/>
        <w:rPr>
          <w:iCs/>
          <w:sz w:val="20"/>
          <w:szCs w:val="20"/>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768"/>
        <w:gridCol w:w="3060"/>
      </w:tblGrid>
      <w:tr w:rsidR="00433EBB" w:rsidRPr="00B600C3" w14:paraId="1E50A8A4" w14:textId="77777777" w:rsidTr="008A1827">
        <w:trPr>
          <w:jc w:val="center"/>
        </w:trPr>
        <w:tc>
          <w:tcPr>
            <w:tcW w:w="6768" w:type="dxa"/>
            <w:tcBorders>
              <w:top w:val="nil"/>
              <w:left w:val="nil"/>
              <w:bottom w:val="nil"/>
              <w:right w:val="nil"/>
            </w:tcBorders>
          </w:tcPr>
          <w:p w14:paraId="778B8702" w14:textId="558C89E4" w:rsidR="00433EBB" w:rsidRPr="00B600C3" w:rsidRDefault="00E53D85" w:rsidP="008A1827">
            <w:pPr>
              <w:rPr>
                <w:b/>
                <w:bCs/>
                <w:sz w:val="20"/>
                <w:szCs w:val="20"/>
              </w:rPr>
            </w:pPr>
            <w:r w:rsidRPr="00E53D85">
              <w:rPr>
                <w:b/>
                <w:bCs/>
                <w:sz w:val="20"/>
                <w:szCs w:val="20"/>
              </w:rPr>
              <w:t>IRS Identity Assurance Risk Assessment</w:t>
            </w:r>
            <w:r>
              <w:rPr>
                <w:b/>
                <w:bCs/>
                <w:sz w:val="20"/>
                <w:szCs w:val="20"/>
              </w:rPr>
              <w:t xml:space="preserve"> Project</w:t>
            </w:r>
          </w:p>
        </w:tc>
        <w:tc>
          <w:tcPr>
            <w:tcW w:w="3060" w:type="dxa"/>
            <w:tcBorders>
              <w:top w:val="nil"/>
              <w:left w:val="nil"/>
              <w:bottom w:val="nil"/>
              <w:right w:val="nil"/>
            </w:tcBorders>
          </w:tcPr>
          <w:p w14:paraId="3EC76198" w14:textId="77777777" w:rsidR="00433EBB" w:rsidRPr="003653B8" w:rsidRDefault="00433EBB" w:rsidP="008A1827">
            <w:pPr>
              <w:pStyle w:val="Heading4"/>
              <w:rPr>
                <w:sz w:val="20"/>
                <w:szCs w:val="20"/>
              </w:rPr>
            </w:pPr>
            <w:r>
              <w:rPr>
                <w:sz w:val="20"/>
                <w:szCs w:val="20"/>
              </w:rPr>
              <w:t>July</w:t>
            </w:r>
            <w:r w:rsidRPr="003653B8">
              <w:rPr>
                <w:sz w:val="20"/>
                <w:szCs w:val="20"/>
              </w:rPr>
              <w:t xml:space="preserve"> 202</w:t>
            </w:r>
            <w:r>
              <w:rPr>
                <w:sz w:val="20"/>
                <w:szCs w:val="20"/>
              </w:rPr>
              <w:t>4</w:t>
            </w:r>
            <w:r w:rsidRPr="003653B8">
              <w:rPr>
                <w:sz w:val="20"/>
                <w:szCs w:val="20"/>
              </w:rPr>
              <w:t xml:space="preserve"> – </w:t>
            </w:r>
            <w:r>
              <w:rPr>
                <w:sz w:val="20"/>
                <w:szCs w:val="20"/>
              </w:rPr>
              <w:t>Sep. 2024</w:t>
            </w:r>
          </w:p>
          <w:p w14:paraId="01F7E674" w14:textId="20D24A23" w:rsidR="00433EBB" w:rsidRPr="00B600C3" w:rsidRDefault="00E53D85" w:rsidP="008A1827">
            <w:pPr>
              <w:pStyle w:val="Heading4"/>
              <w:rPr>
                <w:sz w:val="20"/>
                <w:szCs w:val="20"/>
              </w:rPr>
            </w:pPr>
            <w:r>
              <w:rPr>
                <w:sz w:val="20"/>
                <w:szCs w:val="20"/>
              </w:rPr>
              <w:t>Washington D.C.</w:t>
            </w:r>
          </w:p>
        </w:tc>
      </w:tr>
      <w:tr w:rsidR="00433EBB" w:rsidRPr="00B600C3" w14:paraId="3140779B" w14:textId="77777777" w:rsidTr="008A1827">
        <w:trPr>
          <w:gridAfter w:val="1"/>
          <w:wAfter w:w="3060" w:type="dxa"/>
          <w:jc w:val="center"/>
        </w:trPr>
        <w:tc>
          <w:tcPr>
            <w:tcW w:w="6768" w:type="dxa"/>
            <w:tcBorders>
              <w:top w:val="nil"/>
              <w:left w:val="nil"/>
              <w:bottom w:val="nil"/>
              <w:right w:val="nil"/>
            </w:tcBorders>
          </w:tcPr>
          <w:p w14:paraId="70FDA581" w14:textId="77777777" w:rsidR="00433EBB" w:rsidRDefault="00433EBB" w:rsidP="008A1827">
            <w:pPr>
              <w:rPr>
                <w:b/>
                <w:bCs/>
                <w:sz w:val="20"/>
                <w:szCs w:val="20"/>
              </w:rPr>
            </w:pPr>
            <w:r>
              <w:rPr>
                <w:b/>
                <w:bCs/>
                <w:sz w:val="20"/>
                <w:szCs w:val="20"/>
              </w:rPr>
              <w:t>Project Team Lead</w:t>
            </w:r>
            <w:r w:rsidR="00E53D85">
              <w:rPr>
                <w:b/>
                <w:bCs/>
                <w:sz w:val="20"/>
                <w:szCs w:val="20"/>
              </w:rPr>
              <w:t xml:space="preserve"> </w:t>
            </w:r>
          </w:p>
          <w:p w14:paraId="17624D69" w14:textId="56D28CBE" w:rsidR="00B50F37" w:rsidRPr="00B600C3" w:rsidRDefault="00B50F37" w:rsidP="008A1827">
            <w:pPr>
              <w:rPr>
                <w:b/>
                <w:bCs/>
                <w:sz w:val="20"/>
                <w:szCs w:val="20"/>
              </w:rPr>
            </w:pPr>
          </w:p>
        </w:tc>
      </w:tr>
    </w:tbl>
    <w:p w14:paraId="5858493F" w14:textId="778C54D7" w:rsidR="00B50F37" w:rsidRPr="00B50F37" w:rsidRDefault="00B50F37" w:rsidP="00B50F37">
      <w:pPr>
        <w:numPr>
          <w:ilvl w:val="0"/>
          <w:numId w:val="1"/>
        </w:numPr>
        <w:tabs>
          <w:tab w:val="num" w:pos="360"/>
        </w:tabs>
        <w:ind w:left="360" w:hanging="180"/>
        <w:rPr>
          <w:iCs/>
          <w:sz w:val="20"/>
          <w:szCs w:val="20"/>
        </w:rPr>
      </w:pPr>
      <w:r w:rsidRPr="00B50F37">
        <w:rPr>
          <w:iCs/>
          <w:sz w:val="20"/>
          <w:szCs w:val="20"/>
        </w:rPr>
        <w:t>Led a cross-agency team to perform risk assessments for IRS Identity Assurance during a major workflow transition, identifying operational risks and vulnerabilities.</w:t>
      </w:r>
    </w:p>
    <w:p w14:paraId="46E93C69" w14:textId="66C25182" w:rsidR="00B50F37" w:rsidRPr="00B50F37" w:rsidRDefault="00B50F37" w:rsidP="00B50F37">
      <w:pPr>
        <w:numPr>
          <w:ilvl w:val="0"/>
          <w:numId w:val="1"/>
        </w:numPr>
        <w:tabs>
          <w:tab w:val="num" w:pos="360"/>
        </w:tabs>
        <w:ind w:left="360" w:hanging="180"/>
        <w:rPr>
          <w:iCs/>
          <w:sz w:val="20"/>
          <w:szCs w:val="20"/>
        </w:rPr>
      </w:pPr>
      <w:r w:rsidRPr="00B50F37">
        <w:rPr>
          <w:iCs/>
          <w:sz w:val="20"/>
          <w:szCs w:val="20"/>
        </w:rPr>
        <w:t>Conducted leadership and employee interviews, reviewed processes, and performed SWOT analysis and scenario planning to develop risk mitigation strategies for communication and operational gaps.</w:t>
      </w:r>
    </w:p>
    <w:p w14:paraId="548F18AF" w14:textId="04EA9B6C" w:rsidR="00B50F37" w:rsidRPr="00B50F37" w:rsidRDefault="00B50F37" w:rsidP="00B50F37">
      <w:pPr>
        <w:numPr>
          <w:ilvl w:val="0"/>
          <w:numId w:val="1"/>
        </w:numPr>
        <w:tabs>
          <w:tab w:val="num" w:pos="360"/>
        </w:tabs>
        <w:ind w:left="360" w:hanging="180"/>
        <w:rPr>
          <w:iCs/>
          <w:sz w:val="20"/>
          <w:szCs w:val="20"/>
        </w:rPr>
      </w:pPr>
      <w:r w:rsidRPr="00B50F37">
        <w:rPr>
          <w:iCs/>
          <w:sz w:val="20"/>
          <w:szCs w:val="20"/>
        </w:rPr>
        <w:t>Developed and refined risk response models for high-priority risks, including process inefficiencies and stakeholder engagement issues, incorporating employee feedback to optimize the project lifecycle.</w:t>
      </w:r>
    </w:p>
    <w:p w14:paraId="5D57A0BF" w14:textId="10B2D934" w:rsidR="00B50F37" w:rsidRDefault="00B50F37" w:rsidP="00B50F37">
      <w:pPr>
        <w:numPr>
          <w:ilvl w:val="0"/>
          <w:numId w:val="1"/>
        </w:numPr>
        <w:tabs>
          <w:tab w:val="num" w:pos="360"/>
        </w:tabs>
        <w:ind w:left="360" w:hanging="180"/>
        <w:rPr>
          <w:iCs/>
          <w:sz w:val="20"/>
          <w:szCs w:val="20"/>
        </w:rPr>
      </w:pPr>
      <w:r w:rsidRPr="00B50F37">
        <w:rPr>
          <w:iCs/>
          <w:sz w:val="20"/>
          <w:szCs w:val="20"/>
        </w:rPr>
        <w:t>Created executive-level reports and presented strategic recommendations to senior leadership, enhancing communication and improving operational efficiency.</w:t>
      </w:r>
    </w:p>
    <w:p w14:paraId="585820DB" w14:textId="77777777" w:rsidR="00B50F37" w:rsidRPr="009C7E40" w:rsidRDefault="00B50F37" w:rsidP="00B50F37">
      <w:pPr>
        <w:ind w:left="180"/>
        <w:rPr>
          <w:iCs/>
          <w:sz w:val="20"/>
          <w:szCs w:val="20"/>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768"/>
        <w:gridCol w:w="3060"/>
      </w:tblGrid>
      <w:tr w:rsidR="008B6E02" w:rsidRPr="00B600C3" w14:paraId="08B9E0B9" w14:textId="77777777">
        <w:trPr>
          <w:jc w:val="center"/>
        </w:trPr>
        <w:tc>
          <w:tcPr>
            <w:tcW w:w="6768" w:type="dxa"/>
            <w:tcBorders>
              <w:top w:val="nil"/>
              <w:left w:val="nil"/>
              <w:bottom w:val="nil"/>
              <w:right w:val="nil"/>
            </w:tcBorders>
          </w:tcPr>
          <w:p w14:paraId="0B69F427" w14:textId="18E2B353" w:rsidR="008B6E02" w:rsidRPr="00FE2F49" w:rsidRDefault="007B30BF">
            <w:pPr>
              <w:rPr>
                <w:b/>
                <w:bCs/>
                <w:sz w:val="20"/>
                <w:szCs w:val="20"/>
              </w:rPr>
            </w:pPr>
            <w:r w:rsidRPr="007B30BF">
              <w:rPr>
                <w:b/>
                <w:bCs/>
                <w:sz w:val="20"/>
                <w:szCs w:val="20"/>
              </w:rPr>
              <w:t xml:space="preserve">U.S. Department of Labor </w:t>
            </w:r>
            <w:r>
              <w:rPr>
                <w:b/>
                <w:bCs/>
                <w:sz w:val="20"/>
                <w:szCs w:val="20"/>
              </w:rPr>
              <w:t xml:space="preserve">- </w:t>
            </w:r>
            <w:r w:rsidR="00DA6BD5">
              <w:rPr>
                <w:b/>
                <w:bCs/>
                <w:sz w:val="20"/>
                <w:szCs w:val="20"/>
              </w:rPr>
              <w:t>Office of Inspector General</w:t>
            </w:r>
            <w:r>
              <w:rPr>
                <w:b/>
                <w:bCs/>
                <w:sz w:val="20"/>
                <w:szCs w:val="20"/>
              </w:rPr>
              <w:t xml:space="preserve"> </w:t>
            </w:r>
            <w:r w:rsidR="00DC3A55">
              <w:rPr>
                <w:b/>
                <w:bCs/>
                <w:sz w:val="20"/>
                <w:szCs w:val="20"/>
              </w:rPr>
              <w:t xml:space="preserve">- </w:t>
            </w:r>
            <w:r w:rsidR="00241DED">
              <w:rPr>
                <w:b/>
                <w:bCs/>
                <w:sz w:val="20"/>
                <w:szCs w:val="20"/>
              </w:rPr>
              <w:t xml:space="preserve">Office of Investigations - </w:t>
            </w:r>
            <w:r w:rsidR="00DF3F1F">
              <w:rPr>
                <w:b/>
                <w:bCs/>
                <w:sz w:val="20"/>
                <w:szCs w:val="20"/>
              </w:rPr>
              <w:t>Labor Racketeering and Fraud</w:t>
            </w:r>
            <w:r w:rsidR="00241DED">
              <w:rPr>
                <w:b/>
                <w:bCs/>
                <w:sz w:val="20"/>
                <w:szCs w:val="20"/>
              </w:rPr>
              <w:t xml:space="preserve">, </w:t>
            </w:r>
            <w:r w:rsidR="00D345F6">
              <w:rPr>
                <w:b/>
                <w:bCs/>
                <w:sz w:val="20"/>
                <w:szCs w:val="20"/>
              </w:rPr>
              <w:t xml:space="preserve">Division of </w:t>
            </w:r>
            <w:r w:rsidR="009C5EF3">
              <w:rPr>
                <w:b/>
                <w:bCs/>
                <w:sz w:val="20"/>
                <w:szCs w:val="20"/>
              </w:rPr>
              <w:t>Analysis</w:t>
            </w:r>
            <w:r w:rsidR="00D345F6">
              <w:rPr>
                <w:b/>
                <w:bCs/>
                <w:sz w:val="20"/>
                <w:szCs w:val="20"/>
              </w:rPr>
              <w:t xml:space="preserve"> and Analytics</w:t>
            </w:r>
            <w:r w:rsidR="009546FE">
              <w:rPr>
                <w:b/>
                <w:bCs/>
                <w:sz w:val="20"/>
                <w:szCs w:val="20"/>
              </w:rPr>
              <w:t xml:space="preserve"> </w:t>
            </w:r>
          </w:p>
          <w:p w14:paraId="7AC8236D" w14:textId="77777777" w:rsidR="008B6E02" w:rsidRPr="00B600C3" w:rsidRDefault="008B6E02">
            <w:pPr>
              <w:rPr>
                <w:b/>
                <w:bCs/>
                <w:sz w:val="20"/>
                <w:szCs w:val="20"/>
              </w:rPr>
            </w:pPr>
          </w:p>
        </w:tc>
        <w:tc>
          <w:tcPr>
            <w:tcW w:w="3060" w:type="dxa"/>
            <w:tcBorders>
              <w:top w:val="nil"/>
              <w:left w:val="nil"/>
              <w:bottom w:val="nil"/>
              <w:right w:val="nil"/>
            </w:tcBorders>
          </w:tcPr>
          <w:p w14:paraId="6B0413B1" w14:textId="4BB07F42" w:rsidR="008B6E02" w:rsidRPr="003653B8" w:rsidRDefault="0078413F">
            <w:pPr>
              <w:pStyle w:val="Heading4"/>
              <w:rPr>
                <w:sz w:val="20"/>
                <w:szCs w:val="20"/>
              </w:rPr>
            </w:pPr>
            <w:r>
              <w:rPr>
                <w:sz w:val="20"/>
                <w:szCs w:val="20"/>
              </w:rPr>
              <w:t>Jan</w:t>
            </w:r>
            <w:r w:rsidR="008B6E02">
              <w:rPr>
                <w:sz w:val="20"/>
                <w:szCs w:val="20"/>
              </w:rPr>
              <w:t>.</w:t>
            </w:r>
            <w:r w:rsidR="008B6E02" w:rsidRPr="003653B8">
              <w:rPr>
                <w:sz w:val="20"/>
                <w:szCs w:val="20"/>
              </w:rPr>
              <w:t xml:space="preserve"> 202</w:t>
            </w:r>
            <w:r>
              <w:rPr>
                <w:sz w:val="20"/>
                <w:szCs w:val="20"/>
              </w:rPr>
              <w:t>4</w:t>
            </w:r>
            <w:r w:rsidR="008B6E02" w:rsidRPr="003653B8">
              <w:rPr>
                <w:sz w:val="20"/>
                <w:szCs w:val="20"/>
              </w:rPr>
              <w:t xml:space="preserve"> – </w:t>
            </w:r>
            <w:r w:rsidR="00FA3757">
              <w:rPr>
                <w:sz w:val="20"/>
                <w:szCs w:val="20"/>
              </w:rPr>
              <w:t>July 2024</w:t>
            </w:r>
          </w:p>
          <w:p w14:paraId="16745A53" w14:textId="3B593A17" w:rsidR="008B6E02" w:rsidRPr="00B600C3" w:rsidRDefault="000D4998">
            <w:pPr>
              <w:pStyle w:val="Heading4"/>
              <w:rPr>
                <w:sz w:val="20"/>
                <w:szCs w:val="20"/>
              </w:rPr>
            </w:pPr>
            <w:r>
              <w:rPr>
                <w:sz w:val="20"/>
                <w:szCs w:val="20"/>
              </w:rPr>
              <w:t>San Francisco/Washington D.C.</w:t>
            </w:r>
          </w:p>
        </w:tc>
      </w:tr>
      <w:tr w:rsidR="008B6E02" w:rsidRPr="00B600C3" w14:paraId="2B495D1B" w14:textId="77777777">
        <w:trPr>
          <w:gridAfter w:val="1"/>
          <w:wAfter w:w="3060" w:type="dxa"/>
          <w:jc w:val="center"/>
        </w:trPr>
        <w:tc>
          <w:tcPr>
            <w:tcW w:w="6768" w:type="dxa"/>
            <w:tcBorders>
              <w:top w:val="nil"/>
              <w:left w:val="nil"/>
              <w:bottom w:val="nil"/>
              <w:right w:val="nil"/>
            </w:tcBorders>
          </w:tcPr>
          <w:p w14:paraId="5DEEC005" w14:textId="2220BE85" w:rsidR="008505E6" w:rsidRPr="00B600C3" w:rsidRDefault="0048553B">
            <w:pPr>
              <w:rPr>
                <w:b/>
                <w:bCs/>
                <w:sz w:val="20"/>
                <w:szCs w:val="20"/>
              </w:rPr>
            </w:pPr>
            <w:r>
              <w:rPr>
                <w:b/>
                <w:bCs/>
                <w:sz w:val="20"/>
                <w:szCs w:val="20"/>
              </w:rPr>
              <w:t>Investigative Analyst</w:t>
            </w:r>
            <w:r w:rsidR="008B6E02" w:rsidRPr="00B600C3">
              <w:rPr>
                <w:b/>
                <w:bCs/>
                <w:sz w:val="20"/>
                <w:szCs w:val="20"/>
              </w:rPr>
              <w:t xml:space="preserve"> </w:t>
            </w:r>
          </w:p>
        </w:tc>
      </w:tr>
    </w:tbl>
    <w:p w14:paraId="738226A3" w14:textId="77777777" w:rsidR="00433EBB" w:rsidRDefault="00433EBB" w:rsidP="009C7E40">
      <w:pPr>
        <w:numPr>
          <w:ilvl w:val="0"/>
          <w:numId w:val="1"/>
        </w:numPr>
        <w:tabs>
          <w:tab w:val="num" w:pos="360"/>
        </w:tabs>
        <w:ind w:left="360" w:hanging="180"/>
        <w:rPr>
          <w:iCs/>
          <w:sz w:val="20"/>
          <w:szCs w:val="20"/>
        </w:rPr>
      </w:pPr>
      <w:r w:rsidRPr="00433EBB">
        <w:rPr>
          <w:iCs/>
          <w:sz w:val="20"/>
          <w:szCs w:val="20"/>
        </w:rPr>
        <w:t>Prepared law enforcement referrals using data analytics and flow of funds tracing for the COVID Fraud Strike Force (IRS, FBI, DOL, HSI) and Task Forces in different regions.</w:t>
      </w:r>
    </w:p>
    <w:p w14:paraId="3A3F45E9" w14:textId="77777777" w:rsidR="00433EBB" w:rsidRDefault="00433EBB" w:rsidP="009C7E40">
      <w:pPr>
        <w:numPr>
          <w:ilvl w:val="0"/>
          <w:numId w:val="1"/>
        </w:numPr>
        <w:tabs>
          <w:tab w:val="num" w:pos="360"/>
        </w:tabs>
        <w:ind w:left="360" w:hanging="180"/>
        <w:rPr>
          <w:iCs/>
          <w:sz w:val="20"/>
          <w:szCs w:val="20"/>
        </w:rPr>
      </w:pPr>
      <w:r w:rsidRPr="00433EBB">
        <w:rPr>
          <w:iCs/>
          <w:sz w:val="20"/>
          <w:szCs w:val="20"/>
        </w:rPr>
        <w:lastRenderedPageBreak/>
        <w:t xml:space="preserve"> Developed intelligence-driven target profiles for national priority fraud subjects, utilizing FinCEN, NCIC, </w:t>
      </w:r>
      <w:proofErr w:type="spellStart"/>
      <w:r w:rsidRPr="00433EBB">
        <w:rPr>
          <w:iCs/>
          <w:sz w:val="20"/>
          <w:szCs w:val="20"/>
        </w:rPr>
        <w:t>NDex</w:t>
      </w:r>
      <w:proofErr w:type="spellEnd"/>
      <w:r w:rsidRPr="00433EBB">
        <w:rPr>
          <w:iCs/>
          <w:sz w:val="20"/>
          <w:szCs w:val="20"/>
        </w:rPr>
        <w:t xml:space="preserve">, and CLEAR databases to identify financial crimes and support OIG field special in active investigations. </w:t>
      </w:r>
    </w:p>
    <w:p w14:paraId="205750C2" w14:textId="77777777" w:rsidR="00433EBB" w:rsidRDefault="00433EBB" w:rsidP="009C7E40">
      <w:pPr>
        <w:numPr>
          <w:ilvl w:val="0"/>
          <w:numId w:val="1"/>
        </w:numPr>
        <w:tabs>
          <w:tab w:val="num" w:pos="360"/>
        </w:tabs>
        <w:ind w:left="360" w:hanging="180"/>
        <w:rPr>
          <w:iCs/>
          <w:sz w:val="20"/>
          <w:szCs w:val="20"/>
        </w:rPr>
      </w:pPr>
      <w:r w:rsidRPr="00433EBB">
        <w:rPr>
          <w:iCs/>
          <w:sz w:val="20"/>
          <w:szCs w:val="20"/>
        </w:rPr>
        <w:t xml:space="preserve">Conducted nationwide searches, comprehensive financial analysis, and provided data-driven analytical support to special agents across multiple investigations. </w:t>
      </w:r>
    </w:p>
    <w:p w14:paraId="630414C2" w14:textId="77777777" w:rsidR="00433EBB" w:rsidRDefault="00433EBB" w:rsidP="009C7E40">
      <w:pPr>
        <w:numPr>
          <w:ilvl w:val="0"/>
          <w:numId w:val="1"/>
        </w:numPr>
        <w:tabs>
          <w:tab w:val="num" w:pos="360"/>
        </w:tabs>
        <w:ind w:left="360" w:hanging="180"/>
        <w:rPr>
          <w:iCs/>
          <w:sz w:val="20"/>
          <w:szCs w:val="20"/>
        </w:rPr>
      </w:pPr>
      <w:r w:rsidRPr="00433EBB">
        <w:rPr>
          <w:iCs/>
          <w:sz w:val="20"/>
          <w:szCs w:val="20"/>
        </w:rPr>
        <w:t xml:space="preserve">Developed </w:t>
      </w:r>
      <w:proofErr w:type="spellStart"/>
      <w:r w:rsidRPr="00433EBB">
        <w:rPr>
          <w:iCs/>
          <w:sz w:val="20"/>
          <w:szCs w:val="20"/>
        </w:rPr>
        <w:t>DataWalk</w:t>
      </w:r>
      <w:proofErr w:type="spellEnd"/>
      <w:r w:rsidRPr="00433EBB">
        <w:rPr>
          <w:iCs/>
          <w:sz w:val="20"/>
          <w:szCs w:val="20"/>
        </w:rPr>
        <w:t xml:space="preserve"> link charts and tables for link analysis on unemployment insurance and small business loan fraud cases. </w:t>
      </w:r>
    </w:p>
    <w:p w14:paraId="5C09A618" w14:textId="6CE3320D" w:rsidR="009C7E40" w:rsidRPr="009C7E40" w:rsidRDefault="00433EBB" w:rsidP="009C7E40">
      <w:pPr>
        <w:numPr>
          <w:ilvl w:val="0"/>
          <w:numId w:val="1"/>
        </w:numPr>
        <w:tabs>
          <w:tab w:val="num" w:pos="360"/>
        </w:tabs>
        <w:ind w:left="360" w:hanging="180"/>
        <w:rPr>
          <w:iCs/>
          <w:sz w:val="20"/>
          <w:szCs w:val="20"/>
        </w:rPr>
      </w:pPr>
      <w:r w:rsidRPr="00433EBB">
        <w:rPr>
          <w:iCs/>
          <w:sz w:val="20"/>
          <w:szCs w:val="20"/>
        </w:rPr>
        <w:t xml:space="preserve">Created an automated </w:t>
      </w:r>
      <w:proofErr w:type="spellStart"/>
      <w:r w:rsidRPr="00433EBB">
        <w:rPr>
          <w:iCs/>
          <w:sz w:val="20"/>
          <w:szCs w:val="20"/>
        </w:rPr>
        <w:t>PowerBI</w:t>
      </w:r>
      <w:proofErr w:type="spellEnd"/>
      <w:r w:rsidRPr="00433EBB">
        <w:rPr>
          <w:iCs/>
          <w:sz w:val="20"/>
          <w:szCs w:val="20"/>
        </w:rPr>
        <w:t xml:space="preserve"> dashboard using Power Query to support special agents investigating visa fraud cases. • Supported federal investigations by assisting in search warrant operations, case strategy meetings, and shadowing court proceedings.</w:t>
      </w:r>
    </w:p>
    <w:p w14:paraId="5029C7ED" w14:textId="77777777" w:rsidR="00433EBB" w:rsidRDefault="00433EBB" w:rsidP="00433EBB">
      <w:pPr>
        <w:rPr>
          <w:iCs/>
          <w:sz w:val="20"/>
          <w:szCs w:val="20"/>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768"/>
        <w:gridCol w:w="3060"/>
      </w:tblGrid>
      <w:tr w:rsidR="00433EBB" w:rsidRPr="00B600C3" w14:paraId="191092A6" w14:textId="77777777" w:rsidTr="008A1827">
        <w:trPr>
          <w:jc w:val="center"/>
        </w:trPr>
        <w:tc>
          <w:tcPr>
            <w:tcW w:w="6768" w:type="dxa"/>
            <w:tcBorders>
              <w:top w:val="nil"/>
              <w:left w:val="nil"/>
              <w:bottom w:val="nil"/>
              <w:right w:val="nil"/>
            </w:tcBorders>
          </w:tcPr>
          <w:p w14:paraId="6DE7B17A" w14:textId="3EB7D193" w:rsidR="00433EBB" w:rsidRPr="00FE2F49" w:rsidRDefault="000D4998" w:rsidP="000D4998">
            <w:pPr>
              <w:rPr>
                <w:b/>
                <w:bCs/>
                <w:sz w:val="20"/>
                <w:szCs w:val="20"/>
              </w:rPr>
            </w:pPr>
            <w:r w:rsidRPr="000D4998">
              <w:rPr>
                <w:b/>
                <w:bCs/>
                <w:sz w:val="20"/>
                <w:szCs w:val="20"/>
              </w:rPr>
              <w:t>Division of Economic Research and Analysis (DERA)</w:t>
            </w:r>
            <w:r>
              <w:rPr>
                <w:b/>
                <w:bCs/>
                <w:sz w:val="20"/>
                <w:szCs w:val="20"/>
              </w:rPr>
              <w:t xml:space="preserve"> – Employee Benefits Security Administration - </w:t>
            </w:r>
            <w:r w:rsidRPr="000D4998">
              <w:rPr>
                <w:b/>
                <w:bCs/>
                <w:sz w:val="20"/>
                <w:szCs w:val="20"/>
              </w:rPr>
              <w:t>Office of Research and Analysis</w:t>
            </w:r>
          </w:p>
          <w:p w14:paraId="6C90821D" w14:textId="77777777" w:rsidR="00433EBB" w:rsidRPr="00B600C3" w:rsidRDefault="00433EBB" w:rsidP="008A1827">
            <w:pPr>
              <w:rPr>
                <w:b/>
                <w:bCs/>
                <w:sz w:val="20"/>
                <w:szCs w:val="20"/>
              </w:rPr>
            </w:pPr>
          </w:p>
        </w:tc>
        <w:tc>
          <w:tcPr>
            <w:tcW w:w="3060" w:type="dxa"/>
            <w:tcBorders>
              <w:top w:val="nil"/>
              <w:left w:val="nil"/>
              <w:bottom w:val="nil"/>
              <w:right w:val="nil"/>
            </w:tcBorders>
          </w:tcPr>
          <w:p w14:paraId="7EDC88D8" w14:textId="3D6C6CD6" w:rsidR="00433EBB" w:rsidRPr="003653B8" w:rsidRDefault="00433EBB" w:rsidP="008A1827">
            <w:pPr>
              <w:pStyle w:val="Heading4"/>
              <w:rPr>
                <w:sz w:val="20"/>
                <w:szCs w:val="20"/>
              </w:rPr>
            </w:pPr>
            <w:r>
              <w:rPr>
                <w:sz w:val="20"/>
                <w:szCs w:val="20"/>
              </w:rPr>
              <w:t>Nov</w:t>
            </w:r>
            <w:r w:rsidRPr="003653B8">
              <w:rPr>
                <w:sz w:val="20"/>
                <w:szCs w:val="20"/>
              </w:rPr>
              <w:t xml:space="preserve"> 202</w:t>
            </w:r>
            <w:r>
              <w:rPr>
                <w:sz w:val="20"/>
                <w:szCs w:val="20"/>
              </w:rPr>
              <w:t>3</w:t>
            </w:r>
            <w:r w:rsidRPr="003653B8">
              <w:rPr>
                <w:sz w:val="20"/>
                <w:szCs w:val="20"/>
              </w:rPr>
              <w:t xml:space="preserve"> – </w:t>
            </w:r>
            <w:r>
              <w:rPr>
                <w:sz w:val="20"/>
                <w:szCs w:val="20"/>
              </w:rPr>
              <w:t>Jan. 2024</w:t>
            </w:r>
          </w:p>
          <w:p w14:paraId="6D7ABF7A" w14:textId="2B88EB4E" w:rsidR="00433EBB" w:rsidRPr="00B600C3" w:rsidRDefault="00F0566E" w:rsidP="008A1827">
            <w:pPr>
              <w:pStyle w:val="Heading4"/>
              <w:rPr>
                <w:sz w:val="20"/>
                <w:szCs w:val="20"/>
              </w:rPr>
            </w:pPr>
            <w:r>
              <w:rPr>
                <w:sz w:val="20"/>
                <w:szCs w:val="20"/>
              </w:rPr>
              <w:t>Washington D.C.</w:t>
            </w:r>
          </w:p>
        </w:tc>
      </w:tr>
      <w:tr w:rsidR="00433EBB" w:rsidRPr="00B600C3" w14:paraId="6638B341" w14:textId="77777777" w:rsidTr="008A1827">
        <w:trPr>
          <w:gridAfter w:val="1"/>
          <w:wAfter w:w="3060" w:type="dxa"/>
          <w:jc w:val="center"/>
        </w:trPr>
        <w:tc>
          <w:tcPr>
            <w:tcW w:w="6768" w:type="dxa"/>
            <w:tcBorders>
              <w:top w:val="nil"/>
              <w:left w:val="nil"/>
              <w:bottom w:val="nil"/>
              <w:right w:val="nil"/>
            </w:tcBorders>
          </w:tcPr>
          <w:p w14:paraId="2BD6B05D" w14:textId="6853C8D5" w:rsidR="00433EBB" w:rsidRPr="00B600C3" w:rsidRDefault="003C5BB2" w:rsidP="008A1827">
            <w:pPr>
              <w:rPr>
                <w:b/>
                <w:bCs/>
                <w:sz w:val="20"/>
                <w:szCs w:val="20"/>
              </w:rPr>
            </w:pPr>
            <w:r>
              <w:rPr>
                <w:b/>
                <w:bCs/>
                <w:sz w:val="20"/>
                <w:szCs w:val="20"/>
              </w:rPr>
              <w:t xml:space="preserve">Analyst </w:t>
            </w:r>
            <w:proofErr w:type="spellStart"/>
            <w:r>
              <w:rPr>
                <w:b/>
                <w:bCs/>
                <w:sz w:val="20"/>
                <w:szCs w:val="20"/>
              </w:rPr>
              <w:t>Detailee</w:t>
            </w:r>
            <w:proofErr w:type="spellEnd"/>
          </w:p>
        </w:tc>
      </w:tr>
    </w:tbl>
    <w:p w14:paraId="463FEF5A" w14:textId="3A990347" w:rsidR="00433EBB" w:rsidRPr="00433EBB" w:rsidRDefault="00433EBB" w:rsidP="00433EBB">
      <w:pPr>
        <w:numPr>
          <w:ilvl w:val="0"/>
          <w:numId w:val="1"/>
        </w:numPr>
        <w:tabs>
          <w:tab w:val="num" w:pos="360"/>
        </w:tabs>
        <w:ind w:left="360" w:hanging="180"/>
        <w:rPr>
          <w:iCs/>
          <w:sz w:val="20"/>
          <w:szCs w:val="20"/>
        </w:rPr>
      </w:pPr>
      <w:r w:rsidRPr="00433EBB">
        <w:rPr>
          <w:iCs/>
          <w:sz w:val="20"/>
          <w:szCs w:val="20"/>
        </w:rPr>
        <w:t>Improved national case prioritization by refining EBSA’s Risk Locality Tool, integrating feedback from the Division of Investigative Strategies to enhance targeting accuracy for field offices.</w:t>
      </w:r>
    </w:p>
    <w:p w14:paraId="1DCE33E0" w14:textId="7FCF6A6E" w:rsidR="00433EBB" w:rsidRPr="00433EBB" w:rsidRDefault="00433EBB" w:rsidP="00433EBB">
      <w:pPr>
        <w:numPr>
          <w:ilvl w:val="0"/>
          <w:numId w:val="1"/>
        </w:numPr>
        <w:tabs>
          <w:tab w:val="num" w:pos="360"/>
        </w:tabs>
        <w:ind w:left="360" w:hanging="180"/>
        <w:rPr>
          <w:iCs/>
          <w:sz w:val="20"/>
          <w:szCs w:val="20"/>
        </w:rPr>
      </w:pPr>
      <w:r w:rsidRPr="00433EBB">
        <w:rPr>
          <w:iCs/>
          <w:sz w:val="20"/>
          <w:szCs w:val="20"/>
        </w:rPr>
        <w:t>Conducted financial risk analysis in collaboration with the Division of Financial Investigations, reviewing underperforming funds and Peer Group Analysis to support enforcement initiatives.</w:t>
      </w:r>
    </w:p>
    <w:p w14:paraId="0AA8EC99" w14:textId="1C9E2AAD" w:rsidR="00433EBB" w:rsidRPr="00433EBB" w:rsidRDefault="00433EBB" w:rsidP="00433EBB">
      <w:pPr>
        <w:numPr>
          <w:ilvl w:val="0"/>
          <w:numId w:val="1"/>
        </w:numPr>
        <w:tabs>
          <w:tab w:val="num" w:pos="360"/>
        </w:tabs>
        <w:ind w:left="360" w:hanging="180"/>
        <w:rPr>
          <w:iCs/>
          <w:sz w:val="20"/>
          <w:szCs w:val="20"/>
        </w:rPr>
      </w:pPr>
      <w:r w:rsidRPr="00433EBB">
        <w:rPr>
          <w:iCs/>
          <w:sz w:val="20"/>
          <w:szCs w:val="20"/>
        </w:rPr>
        <w:t>Increased investigator efficiency by testing and enhancing the Loss of Earnings Calculation Tool (ECP-LOC), identifying technical gaps and updating documentation to streamline calculations for missing contributions and earnings.</w:t>
      </w:r>
    </w:p>
    <w:p w14:paraId="7B8C5D6B" w14:textId="77777777" w:rsidR="004D3A57" w:rsidRDefault="004D3A57" w:rsidP="004D3A57">
      <w:pPr>
        <w:rPr>
          <w:iCs/>
          <w:sz w:val="20"/>
          <w:szCs w:val="20"/>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768"/>
        <w:gridCol w:w="3060"/>
      </w:tblGrid>
      <w:tr w:rsidR="00D564D1" w:rsidRPr="00B600C3" w14:paraId="58D0C18E" w14:textId="77777777">
        <w:trPr>
          <w:jc w:val="center"/>
        </w:trPr>
        <w:tc>
          <w:tcPr>
            <w:tcW w:w="6768" w:type="dxa"/>
            <w:tcBorders>
              <w:top w:val="nil"/>
              <w:left w:val="nil"/>
              <w:bottom w:val="nil"/>
              <w:right w:val="nil"/>
            </w:tcBorders>
          </w:tcPr>
          <w:p w14:paraId="3D878C4A" w14:textId="77777777" w:rsidR="00D564D1" w:rsidRDefault="004B08FE">
            <w:pPr>
              <w:rPr>
                <w:b/>
                <w:bCs/>
                <w:sz w:val="20"/>
                <w:szCs w:val="20"/>
              </w:rPr>
            </w:pPr>
            <w:r w:rsidRPr="00B600C3">
              <w:rPr>
                <w:b/>
                <w:bCs/>
                <w:sz w:val="20"/>
                <w:szCs w:val="20"/>
              </w:rPr>
              <w:t>Hozint – Horizon Intelligence</w:t>
            </w:r>
            <w:r w:rsidR="00E43E1D">
              <w:rPr>
                <w:b/>
                <w:bCs/>
                <w:sz w:val="20"/>
                <w:szCs w:val="20"/>
              </w:rPr>
              <w:t xml:space="preserve"> </w:t>
            </w:r>
          </w:p>
          <w:p w14:paraId="41C8F396" w14:textId="77777777" w:rsidR="006524CF" w:rsidRPr="00B600C3" w:rsidRDefault="006524CF" w:rsidP="00381E2E">
            <w:pPr>
              <w:rPr>
                <w:b/>
                <w:bCs/>
                <w:sz w:val="20"/>
                <w:szCs w:val="20"/>
              </w:rPr>
            </w:pPr>
          </w:p>
        </w:tc>
        <w:tc>
          <w:tcPr>
            <w:tcW w:w="3060" w:type="dxa"/>
            <w:tcBorders>
              <w:top w:val="nil"/>
              <w:left w:val="nil"/>
              <w:bottom w:val="nil"/>
              <w:right w:val="nil"/>
            </w:tcBorders>
          </w:tcPr>
          <w:p w14:paraId="3F82FF06" w14:textId="77777777" w:rsidR="00E43E1D" w:rsidRPr="003653B8" w:rsidRDefault="003653B8" w:rsidP="009F7EAF">
            <w:pPr>
              <w:pStyle w:val="Heading4"/>
              <w:rPr>
                <w:sz w:val="20"/>
                <w:szCs w:val="20"/>
              </w:rPr>
            </w:pPr>
            <w:r w:rsidRPr="003653B8">
              <w:rPr>
                <w:sz w:val="20"/>
                <w:szCs w:val="20"/>
              </w:rPr>
              <w:t>Jan</w:t>
            </w:r>
            <w:r w:rsidR="00F61252">
              <w:rPr>
                <w:sz w:val="20"/>
                <w:szCs w:val="20"/>
              </w:rPr>
              <w:t>.</w:t>
            </w:r>
            <w:r w:rsidRPr="003653B8">
              <w:rPr>
                <w:sz w:val="20"/>
                <w:szCs w:val="20"/>
              </w:rPr>
              <w:t xml:space="preserve"> 2021 – </w:t>
            </w:r>
            <w:r w:rsidR="002616E0">
              <w:rPr>
                <w:sz w:val="20"/>
                <w:szCs w:val="20"/>
              </w:rPr>
              <w:t>Feb. 2022</w:t>
            </w:r>
          </w:p>
          <w:p w14:paraId="324526B5" w14:textId="77777777" w:rsidR="00D564D1" w:rsidRPr="00B600C3" w:rsidRDefault="00AD5222" w:rsidP="009F7EAF">
            <w:pPr>
              <w:pStyle w:val="Heading4"/>
              <w:rPr>
                <w:sz w:val="20"/>
                <w:szCs w:val="20"/>
              </w:rPr>
            </w:pPr>
            <w:r w:rsidRPr="00B600C3">
              <w:rPr>
                <w:sz w:val="20"/>
                <w:szCs w:val="20"/>
              </w:rPr>
              <w:t>Brussels, Belgium</w:t>
            </w:r>
          </w:p>
        </w:tc>
      </w:tr>
      <w:tr w:rsidR="00CC6D17" w:rsidRPr="00B600C3" w14:paraId="7CB51F71" w14:textId="77777777">
        <w:trPr>
          <w:gridAfter w:val="1"/>
          <w:wAfter w:w="3060" w:type="dxa"/>
          <w:jc w:val="center"/>
        </w:trPr>
        <w:tc>
          <w:tcPr>
            <w:tcW w:w="6768" w:type="dxa"/>
            <w:tcBorders>
              <w:top w:val="nil"/>
              <w:left w:val="nil"/>
              <w:bottom w:val="nil"/>
              <w:right w:val="nil"/>
            </w:tcBorders>
          </w:tcPr>
          <w:p w14:paraId="1AE5F32F" w14:textId="0A819607" w:rsidR="00CC6D17" w:rsidRPr="00B600C3" w:rsidRDefault="00CC6D17" w:rsidP="00CC6D17">
            <w:pPr>
              <w:rPr>
                <w:b/>
                <w:bCs/>
                <w:sz w:val="20"/>
                <w:szCs w:val="20"/>
              </w:rPr>
            </w:pPr>
            <w:r w:rsidRPr="00204706">
              <w:rPr>
                <w:b/>
                <w:bCs/>
                <w:sz w:val="20"/>
                <w:szCs w:val="20"/>
              </w:rPr>
              <w:t>Threat Intelligence Analyst &amp; Project Researcher</w:t>
            </w:r>
          </w:p>
        </w:tc>
      </w:tr>
    </w:tbl>
    <w:p w14:paraId="75C29AE8" w14:textId="77777777" w:rsidR="00FE6EDF" w:rsidRPr="000F6809" w:rsidRDefault="00FE6EDF" w:rsidP="00FE6EDF">
      <w:pPr>
        <w:numPr>
          <w:ilvl w:val="0"/>
          <w:numId w:val="1"/>
        </w:numPr>
        <w:tabs>
          <w:tab w:val="num" w:pos="360"/>
        </w:tabs>
        <w:ind w:left="360" w:hanging="180"/>
        <w:rPr>
          <w:iCs/>
          <w:sz w:val="20"/>
          <w:szCs w:val="20"/>
        </w:rPr>
      </w:pPr>
      <w:r w:rsidRPr="00752847">
        <w:rPr>
          <w:sz w:val="20"/>
          <w:szCs w:val="20"/>
        </w:rPr>
        <w:t xml:space="preserve">Developed </w:t>
      </w:r>
      <w:r>
        <w:rPr>
          <w:sz w:val="20"/>
          <w:szCs w:val="20"/>
        </w:rPr>
        <w:t xml:space="preserve">and validated </w:t>
      </w:r>
      <w:r w:rsidRPr="00752847">
        <w:rPr>
          <w:sz w:val="20"/>
          <w:szCs w:val="20"/>
        </w:rPr>
        <w:t>an International Risk Index</w:t>
      </w:r>
      <w:r w:rsidRPr="000F6809">
        <w:rPr>
          <w:iCs/>
          <w:sz w:val="20"/>
          <w:szCs w:val="20"/>
        </w:rPr>
        <w:t xml:space="preserve"> </w:t>
      </w:r>
      <w:r w:rsidRPr="00E06B89">
        <w:rPr>
          <w:iCs/>
          <w:sz w:val="20"/>
          <w:szCs w:val="20"/>
        </w:rPr>
        <w:t>using Excel, Power BI, and Tableau</w:t>
      </w:r>
      <w:r w:rsidRPr="00752847">
        <w:rPr>
          <w:sz w:val="20"/>
          <w:szCs w:val="20"/>
        </w:rPr>
        <w:t xml:space="preserve"> to assess terrorism and civil unrest threats, applying risk analysis theories from </w:t>
      </w:r>
      <w:r>
        <w:rPr>
          <w:sz w:val="20"/>
          <w:szCs w:val="20"/>
        </w:rPr>
        <w:t>graduate</w:t>
      </w:r>
      <w:r w:rsidRPr="00752847">
        <w:rPr>
          <w:sz w:val="20"/>
          <w:szCs w:val="20"/>
        </w:rPr>
        <w:t xml:space="preserve"> coursework.</w:t>
      </w:r>
    </w:p>
    <w:p w14:paraId="2E8E1BC1" w14:textId="03AC6165" w:rsidR="008529E9" w:rsidRPr="000F6809" w:rsidRDefault="008529E9" w:rsidP="008529E9">
      <w:pPr>
        <w:numPr>
          <w:ilvl w:val="0"/>
          <w:numId w:val="1"/>
        </w:numPr>
        <w:tabs>
          <w:tab w:val="num" w:pos="360"/>
        </w:tabs>
        <w:ind w:left="360" w:hanging="180"/>
        <w:rPr>
          <w:iCs/>
          <w:sz w:val="20"/>
          <w:szCs w:val="20"/>
        </w:rPr>
      </w:pPr>
      <w:r>
        <w:rPr>
          <w:iCs/>
          <w:sz w:val="20"/>
          <w:szCs w:val="20"/>
        </w:rPr>
        <w:t>P</w:t>
      </w:r>
      <w:r w:rsidRPr="000F6809">
        <w:rPr>
          <w:iCs/>
          <w:sz w:val="20"/>
          <w:szCs w:val="20"/>
        </w:rPr>
        <w:t>resented executive briefings to Hozint’s CEO and CTO on</w:t>
      </w:r>
      <w:r>
        <w:rPr>
          <w:iCs/>
          <w:sz w:val="20"/>
          <w:szCs w:val="20"/>
        </w:rPr>
        <w:t xml:space="preserve"> the</w:t>
      </w:r>
      <w:r w:rsidRPr="000F6809">
        <w:rPr>
          <w:iCs/>
          <w:sz w:val="20"/>
          <w:szCs w:val="20"/>
        </w:rPr>
        <w:t xml:space="preserve"> risk assessment models</w:t>
      </w:r>
      <w:r w:rsidR="009C7E40">
        <w:rPr>
          <w:iCs/>
          <w:sz w:val="20"/>
          <w:szCs w:val="20"/>
        </w:rPr>
        <w:t xml:space="preserve"> providing business insights</w:t>
      </w:r>
      <w:r w:rsidRPr="000F6809">
        <w:rPr>
          <w:iCs/>
          <w:sz w:val="20"/>
          <w:szCs w:val="20"/>
        </w:rPr>
        <w:t>, incorporating their technical feedback to refine country risk indices and improve the company’s strategic forecasting capabilities.</w:t>
      </w:r>
    </w:p>
    <w:p w14:paraId="2E41E5E8" w14:textId="77777777" w:rsidR="00CC1DE9" w:rsidRDefault="00CC1DE9" w:rsidP="00CC1DE9">
      <w:pPr>
        <w:numPr>
          <w:ilvl w:val="0"/>
          <w:numId w:val="1"/>
        </w:numPr>
        <w:tabs>
          <w:tab w:val="num" w:pos="360"/>
        </w:tabs>
        <w:ind w:left="360" w:hanging="180"/>
        <w:rPr>
          <w:iCs/>
          <w:sz w:val="20"/>
          <w:szCs w:val="20"/>
        </w:rPr>
      </w:pPr>
      <w:r w:rsidRPr="002C37EB">
        <w:rPr>
          <w:iCs/>
          <w:sz w:val="20"/>
          <w:szCs w:val="20"/>
        </w:rPr>
        <w:t xml:space="preserve">Delivered intelligence briefings on emerging geopolitical risks, presenting OSINT-driven insights on global security developments to </w:t>
      </w:r>
      <w:r>
        <w:rPr>
          <w:iCs/>
          <w:sz w:val="20"/>
          <w:szCs w:val="20"/>
        </w:rPr>
        <w:t>leadership.</w:t>
      </w:r>
    </w:p>
    <w:p w14:paraId="1831B4DA" w14:textId="0EFFC3D6" w:rsidR="00996064" w:rsidRPr="004A0107" w:rsidRDefault="003B7180" w:rsidP="00996064">
      <w:pPr>
        <w:numPr>
          <w:ilvl w:val="0"/>
          <w:numId w:val="1"/>
        </w:numPr>
        <w:tabs>
          <w:tab w:val="num" w:pos="360"/>
        </w:tabs>
        <w:ind w:left="360" w:hanging="180"/>
        <w:rPr>
          <w:iCs/>
          <w:sz w:val="20"/>
          <w:szCs w:val="20"/>
        </w:rPr>
      </w:pPr>
      <w:r w:rsidRPr="00E06B89">
        <w:rPr>
          <w:iCs/>
          <w:sz w:val="20"/>
          <w:szCs w:val="20"/>
        </w:rPr>
        <w:t xml:space="preserve">Authored OSINT-based intelligence reports </w:t>
      </w:r>
      <w:r>
        <w:rPr>
          <w:iCs/>
          <w:sz w:val="20"/>
          <w:szCs w:val="20"/>
        </w:rPr>
        <w:t>monitoring</w:t>
      </w:r>
      <w:r w:rsidRPr="00E06B89">
        <w:rPr>
          <w:iCs/>
          <w:sz w:val="20"/>
          <w:szCs w:val="20"/>
        </w:rPr>
        <w:t xml:space="preserve"> geopolitical conflicts such as the Israel-Palestine conflict, Western Sahara dispute, and Iraq’s fight against ISIL.</w:t>
      </w:r>
    </w:p>
    <w:p w14:paraId="13589325" w14:textId="77777777" w:rsidR="00D5100A" w:rsidRPr="00B600C3" w:rsidRDefault="00D5100A" w:rsidP="00D5100A">
      <w:pPr>
        <w:pStyle w:val="Caption"/>
        <w:spacing w:before="240" w:after="120"/>
        <w:rPr>
          <w:sz w:val="20"/>
          <w:szCs w:val="20"/>
        </w:rPr>
      </w:pPr>
      <w:r>
        <w:rPr>
          <w:sz w:val="20"/>
          <w:szCs w:val="20"/>
        </w:rPr>
        <w:t>Skills</w:t>
      </w:r>
    </w:p>
    <w:p w14:paraId="1D331670" w14:textId="0CC7DFF9" w:rsidR="00FC71E7" w:rsidRPr="00FC71E7" w:rsidRDefault="00FC71E7" w:rsidP="00FC71E7">
      <w:pPr>
        <w:numPr>
          <w:ilvl w:val="0"/>
          <w:numId w:val="1"/>
        </w:numPr>
        <w:tabs>
          <w:tab w:val="num" w:pos="360"/>
        </w:tabs>
        <w:ind w:left="360" w:hanging="180"/>
        <w:rPr>
          <w:iCs/>
          <w:sz w:val="20"/>
          <w:szCs w:val="20"/>
        </w:rPr>
      </w:pPr>
      <w:r w:rsidRPr="00FC71E7">
        <w:rPr>
          <w:b/>
          <w:bCs/>
          <w:iCs/>
          <w:sz w:val="20"/>
          <w:szCs w:val="20"/>
        </w:rPr>
        <w:t>Data Analysis &amp; Tools</w:t>
      </w:r>
      <w:r w:rsidRPr="00FC71E7">
        <w:rPr>
          <w:iCs/>
          <w:sz w:val="20"/>
          <w:szCs w:val="20"/>
        </w:rPr>
        <w:t xml:space="preserve">: Excel (Advanced), Power BI, Power Query, Tableau, SQL (Beginner), Relativity, </w:t>
      </w:r>
      <w:proofErr w:type="spellStart"/>
      <w:r w:rsidRPr="00FC71E7">
        <w:rPr>
          <w:iCs/>
          <w:sz w:val="20"/>
          <w:szCs w:val="20"/>
        </w:rPr>
        <w:t>ScanWriter</w:t>
      </w:r>
      <w:proofErr w:type="spellEnd"/>
    </w:p>
    <w:p w14:paraId="4BF07CEF" w14:textId="2D4BC7A0" w:rsidR="00FC71E7" w:rsidRPr="00FC71E7" w:rsidRDefault="00FC71E7" w:rsidP="00FC71E7">
      <w:pPr>
        <w:numPr>
          <w:ilvl w:val="0"/>
          <w:numId w:val="1"/>
        </w:numPr>
        <w:tabs>
          <w:tab w:val="num" w:pos="360"/>
        </w:tabs>
        <w:ind w:left="360" w:hanging="180"/>
        <w:rPr>
          <w:iCs/>
          <w:sz w:val="20"/>
          <w:szCs w:val="20"/>
        </w:rPr>
      </w:pPr>
      <w:r w:rsidRPr="00FC71E7">
        <w:rPr>
          <w:b/>
          <w:bCs/>
          <w:iCs/>
          <w:sz w:val="20"/>
          <w:szCs w:val="20"/>
        </w:rPr>
        <w:t>Investigative Tools</w:t>
      </w:r>
      <w:r w:rsidRPr="00FC71E7">
        <w:rPr>
          <w:iCs/>
          <w:sz w:val="20"/>
          <w:szCs w:val="20"/>
        </w:rPr>
        <w:t xml:space="preserve">: FinCEN, NCIC, CLEAR, </w:t>
      </w:r>
      <w:proofErr w:type="spellStart"/>
      <w:r w:rsidRPr="00FC71E7">
        <w:rPr>
          <w:iCs/>
          <w:sz w:val="20"/>
          <w:szCs w:val="20"/>
        </w:rPr>
        <w:t>DataWalk</w:t>
      </w:r>
      <w:proofErr w:type="spellEnd"/>
      <w:r w:rsidRPr="00FC71E7">
        <w:rPr>
          <w:iCs/>
          <w:sz w:val="20"/>
          <w:szCs w:val="20"/>
        </w:rPr>
        <w:t xml:space="preserve">, OSINT, </w:t>
      </w:r>
      <w:proofErr w:type="spellStart"/>
      <w:r w:rsidRPr="00FC71E7">
        <w:rPr>
          <w:iCs/>
          <w:sz w:val="20"/>
          <w:szCs w:val="20"/>
        </w:rPr>
        <w:t>ScanWriter</w:t>
      </w:r>
      <w:proofErr w:type="spellEnd"/>
    </w:p>
    <w:p w14:paraId="63F5CA25" w14:textId="66460136" w:rsidR="00FC71E7" w:rsidRPr="00FC71E7" w:rsidRDefault="00FC71E7" w:rsidP="00FC71E7">
      <w:pPr>
        <w:numPr>
          <w:ilvl w:val="0"/>
          <w:numId w:val="1"/>
        </w:numPr>
        <w:tabs>
          <w:tab w:val="num" w:pos="360"/>
        </w:tabs>
        <w:ind w:left="360" w:hanging="180"/>
        <w:rPr>
          <w:iCs/>
          <w:sz w:val="20"/>
          <w:szCs w:val="20"/>
        </w:rPr>
      </w:pPr>
      <w:r w:rsidRPr="00FC71E7">
        <w:rPr>
          <w:b/>
          <w:bCs/>
          <w:iCs/>
          <w:sz w:val="20"/>
          <w:szCs w:val="20"/>
        </w:rPr>
        <w:t>Risk &amp; Compliance</w:t>
      </w:r>
      <w:r w:rsidRPr="00FC71E7">
        <w:rPr>
          <w:iCs/>
          <w:sz w:val="20"/>
          <w:szCs w:val="20"/>
        </w:rPr>
        <w:t>: Geopolitical forecasting, fraud detection, financial crime investigations, structured analytical techniques</w:t>
      </w:r>
    </w:p>
    <w:p w14:paraId="6758C7CE" w14:textId="1BB5B14B" w:rsidR="00FC71E7" w:rsidRPr="00FC71E7" w:rsidRDefault="00FC71E7" w:rsidP="00FC71E7">
      <w:pPr>
        <w:numPr>
          <w:ilvl w:val="0"/>
          <w:numId w:val="1"/>
        </w:numPr>
        <w:tabs>
          <w:tab w:val="num" w:pos="360"/>
        </w:tabs>
        <w:ind w:left="360" w:hanging="180"/>
        <w:rPr>
          <w:iCs/>
          <w:sz w:val="20"/>
          <w:szCs w:val="20"/>
        </w:rPr>
      </w:pPr>
      <w:r w:rsidRPr="00FC71E7">
        <w:rPr>
          <w:b/>
          <w:bCs/>
          <w:iCs/>
          <w:sz w:val="20"/>
          <w:szCs w:val="20"/>
        </w:rPr>
        <w:t>Reporting &amp; Visualization</w:t>
      </w:r>
      <w:r w:rsidRPr="00FC71E7">
        <w:rPr>
          <w:iCs/>
          <w:sz w:val="20"/>
          <w:szCs w:val="20"/>
        </w:rPr>
        <w:t xml:space="preserve">: Dashboard creation, metric tracking, executive briefings, </w:t>
      </w:r>
      <w:r w:rsidR="002450DD">
        <w:rPr>
          <w:iCs/>
          <w:sz w:val="20"/>
          <w:szCs w:val="20"/>
        </w:rPr>
        <w:t>scenario</w:t>
      </w:r>
      <w:r w:rsidRPr="00FC71E7">
        <w:rPr>
          <w:iCs/>
          <w:sz w:val="20"/>
          <w:szCs w:val="20"/>
        </w:rPr>
        <w:t xml:space="preserve"> modeling</w:t>
      </w:r>
    </w:p>
    <w:p w14:paraId="08B58008" w14:textId="34DAD9E4" w:rsidR="000C7217" w:rsidRPr="00B600C3" w:rsidRDefault="000C7217" w:rsidP="008C5CF3">
      <w:pPr>
        <w:pStyle w:val="Caption"/>
        <w:spacing w:before="240" w:after="120"/>
        <w:rPr>
          <w:sz w:val="20"/>
          <w:szCs w:val="20"/>
        </w:rPr>
      </w:pPr>
      <w:r>
        <w:rPr>
          <w:sz w:val="20"/>
          <w:szCs w:val="20"/>
        </w:rPr>
        <w:t>Awards</w:t>
      </w:r>
    </w:p>
    <w:p w14:paraId="3D29C856" w14:textId="128DDAB1" w:rsidR="001D6A7F" w:rsidRDefault="001D6A7F" w:rsidP="001D6A7F">
      <w:pPr>
        <w:numPr>
          <w:ilvl w:val="0"/>
          <w:numId w:val="1"/>
        </w:numPr>
        <w:tabs>
          <w:tab w:val="num" w:pos="360"/>
        </w:tabs>
        <w:ind w:left="360" w:hanging="180"/>
        <w:rPr>
          <w:iCs/>
          <w:sz w:val="20"/>
          <w:szCs w:val="20"/>
        </w:rPr>
      </w:pPr>
      <w:r w:rsidRPr="001D6A7F">
        <w:rPr>
          <w:b/>
          <w:bCs/>
          <w:iCs/>
          <w:sz w:val="20"/>
          <w:szCs w:val="20"/>
        </w:rPr>
        <w:t xml:space="preserve">Presidential Management Fellow, </w:t>
      </w:r>
      <w:r w:rsidRPr="001D6A7F">
        <w:rPr>
          <w:iCs/>
          <w:sz w:val="20"/>
          <w:szCs w:val="20"/>
        </w:rPr>
        <w:t>U.S. Office of Personnel Management (2024)</w:t>
      </w:r>
      <w:r w:rsidRPr="001D6A7F">
        <w:rPr>
          <w:b/>
          <w:bCs/>
          <w:iCs/>
          <w:sz w:val="20"/>
          <w:szCs w:val="20"/>
        </w:rPr>
        <w:br/>
      </w:r>
      <w:r w:rsidRPr="001D6A7F">
        <w:rPr>
          <w:iCs/>
          <w:sz w:val="20"/>
          <w:szCs w:val="20"/>
        </w:rPr>
        <w:t>Highly selective federal leadership program with rotational experience in investigations, risk analysis, and policy implementation across agencies.</w:t>
      </w:r>
    </w:p>
    <w:p w14:paraId="06F7538D" w14:textId="4EE039CA" w:rsidR="001D6A7F" w:rsidRDefault="008C1761" w:rsidP="002450DD">
      <w:pPr>
        <w:numPr>
          <w:ilvl w:val="0"/>
          <w:numId w:val="1"/>
        </w:numPr>
        <w:tabs>
          <w:tab w:val="num" w:pos="360"/>
        </w:tabs>
        <w:ind w:left="360" w:hanging="180"/>
        <w:rPr>
          <w:iCs/>
          <w:sz w:val="20"/>
          <w:szCs w:val="20"/>
        </w:rPr>
      </w:pPr>
      <w:r w:rsidRPr="00780872">
        <w:rPr>
          <w:b/>
          <w:bCs/>
          <w:iCs/>
          <w:sz w:val="20"/>
          <w:szCs w:val="20"/>
        </w:rPr>
        <w:t>Foreign Service Officer Candidate</w:t>
      </w:r>
      <w:r>
        <w:rPr>
          <w:b/>
          <w:bCs/>
          <w:iCs/>
          <w:sz w:val="20"/>
          <w:szCs w:val="20"/>
        </w:rPr>
        <w:t xml:space="preserve">, </w:t>
      </w:r>
      <w:r w:rsidRPr="00780872">
        <w:rPr>
          <w:iCs/>
          <w:sz w:val="20"/>
          <w:szCs w:val="20"/>
        </w:rPr>
        <w:t>Diplomatic Security Service (2025)</w:t>
      </w:r>
      <w:r w:rsidRPr="00780872">
        <w:rPr>
          <w:iCs/>
          <w:sz w:val="20"/>
          <w:szCs w:val="20"/>
        </w:rPr>
        <w:br/>
      </w:r>
      <w:r w:rsidRPr="003E6678">
        <w:rPr>
          <w:iCs/>
          <w:sz w:val="20"/>
          <w:szCs w:val="20"/>
        </w:rPr>
        <w:t>Placed on the prestigious Foreign Service Officer Register, selected through an intensive evaluation process highlighting leadership potential, international expertise, and a commitment to U.S. security.</w:t>
      </w:r>
    </w:p>
    <w:p w14:paraId="310DACF1" w14:textId="6650CB60" w:rsidR="008D1935" w:rsidRPr="008D1935" w:rsidRDefault="008D1935" w:rsidP="008C5CF3">
      <w:pPr>
        <w:pStyle w:val="Caption"/>
        <w:spacing w:before="240" w:after="120"/>
        <w:rPr>
          <w:sz w:val="20"/>
          <w:szCs w:val="20"/>
        </w:rPr>
      </w:pPr>
      <w:r>
        <w:rPr>
          <w:sz w:val="20"/>
          <w:szCs w:val="20"/>
        </w:rPr>
        <w:t>Certifications</w:t>
      </w:r>
    </w:p>
    <w:p w14:paraId="594D0690" w14:textId="5660C7DC" w:rsidR="001D6A7F" w:rsidRPr="001D6A7F" w:rsidRDefault="001D6A7F" w:rsidP="001D6A7F">
      <w:pPr>
        <w:numPr>
          <w:ilvl w:val="0"/>
          <w:numId w:val="1"/>
        </w:numPr>
        <w:tabs>
          <w:tab w:val="num" w:pos="360"/>
        </w:tabs>
        <w:ind w:left="360" w:hanging="180"/>
        <w:rPr>
          <w:b/>
          <w:bCs/>
          <w:iCs/>
          <w:sz w:val="20"/>
          <w:szCs w:val="20"/>
        </w:rPr>
      </w:pPr>
      <w:r w:rsidRPr="001D6A7F">
        <w:rPr>
          <w:b/>
          <w:bCs/>
          <w:iCs/>
          <w:sz w:val="20"/>
          <w:szCs w:val="20"/>
        </w:rPr>
        <w:t xml:space="preserve">Certified Cyber Crime Investigator, </w:t>
      </w:r>
      <w:r w:rsidRPr="001D6A7F">
        <w:rPr>
          <w:iCs/>
          <w:sz w:val="20"/>
          <w:szCs w:val="20"/>
        </w:rPr>
        <w:t>NW3C – National White-Collar Crime Center (2025</w:t>
      </w:r>
      <w:r w:rsidRPr="001D6A7F">
        <w:rPr>
          <w:b/>
          <w:bCs/>
          <w:iCs/>
          <w:sz w:val="20"/>
          <w:szCs w:val="20"/>
        </w:rPr>
        <w:t>)</w:t>
      </w:r>
      <w:r w:rsidRPr="001D6A7F">
        <w:rPr>
          <w:b/>
          <w:bCs/>
          <w:iCs/>
          <w:sz w:val="20"/>
          <w:szCs w:val="20"/>
        </w:rPr>
        <w:br/>
      </w:r>
      <w:r w:rsidRPr="001D6A7F">
        <w:rPr>
          <w:iCs/>
          <w:sz w:val="20"/>
          <w:szCs w:val="20"/>
        </w:rPr>
        <w:t>Cybercrime investigations, digital forensics, financial scams, OSINT, VPN tracing, and dark web analysis.</w:t>
      </w:r>
    </w:p>
    <w:p w14:paraId="7B01A0F2" w14:textId="29A935FB" w:rsidR="001D6A7F" w:rsidRPr="001D6A7F" w:rsidRDefault="001D6A7F" w:rsidP="001D6A7F">
      <w:pPr>
        <w:numPr>
          <w:ilvl w:val="0"/>
          <w:numId w:val="1"/>
        </w:numPr>
        <w:tabs>
          <w:tab w:val="num" w:pos="360"/>
        </w:tabs>
        <w:ind w:left="360" w:hanging="180"/>
        <w:rPr>
          <w:b/>
          <w:bCs/>
          <w:iCs/>
          <w:sz w:val="20"/>
          <w:szCs w:val="20"/>
        </w:rPr>
      </w:pPr>
      <w:r w:rsidRPr="001D6A7F">
        <w:rPr>
          <w:b/>
          <w:bCs/>
          <w:iCs/>
          <w:sz w:val="20"/>
          <w:szCs w:val="20"/>
        </w:rPr>
        <w:t xml:space="preserve">Fundamentals in Advanced Analytical Skills, </w:t>
      </w:r>
      <w:r w:rsidRPr="001D6A7F">
        <w:rPr>
          <w:iCs/>
          <w:sz w:val="20"/>
          <w:szCs w:val="20"/>
        </w:rPr>
        <w:t>IALEIA (2025)</w:t>
      </w:r>
      <w:r w:rsidRPr="001D6A7F">
        <w:rPr>
          <w:b/>
          <w:bCs/>
          <w:iCs/>
          <w:sz w:val="20"/>
          <w:szCs w:val="20"/>
        </w:rPr>
        <w:br/>
      </w:r>
      <w:r w:rsidRPr="001D6A7F">
        <w:rPr>
          <w:iCs/>
          <w:sz w:val="20"/>
          <w:szCs w:val="20"/>
        </w:rPr>
        <w:t>Training in structured analysis, social media investigations, link analysis, and intelligence frameworks.</w:t>
      </w:r>
    </w:p>
    <w:p w14:paraId="3BFDC8DA" w14:textId="77777777" w:rsidR="008C1761" w:rsidRPr="008C1761" w:rsidRDefault="001D6A7F" w:rsidP="008C1761">
      <w:pPr>
        <w:numPr>
          <w:ilvl w:val="0"/>
          <w:numId w:val="1"/>
        </w:numPr>
        <w:tabs>
          <w:tab w:val="num" w:pos="360"/>
        </w:tabs>
        <w:ind w:left="360" w:hanging="180"/>
        <w:rPr>
          <w:iCs/>
          <w:sz w:val="20"/>
          <w:szCs w:val="20"/>
        </w:rPr>
      </w:pPr>
      <w:r w:rsidRPr="001D6A7F">
        <w:rPr>
          <w:b/>
          <w:bCs/>
          <w:iCs/>
          <w:sz w:val="20"/>
          <w:szCs w:val="20"/>
        </w:rPr>
        <w:lastRenderedPageBreak/>
        <w:t>Fundamentals in Cyber Investigative Tools</w:t>
      </w:r>
      <w:r w:rsidRPr="001D6A7F">
        <w:rPr>
          <w:iCs/>
          <w:sz w:val="20"/>
          <w:szCs w:val="20"/>
        </w:rPr>
        <w:t>, IALEIA (2025)</w:t>
      </w:r>
      <w:r w:rsidRPr="001D6A7F">
        <w:rPr>
          <w:b/>
          <w:bCs/>
          <w:iCs/>
          <w:sz w:val="20"/>
          <w:szCs w:val="20"/>
        </w:rPr>
        <w:br/>
      </w:r>
      <w:r w:rsidRPr="001D6A7F">
        <w:rPr>
          <w:iCs/>
          <w:sz w:val="20"/>
          <w:szCs w:val="20"/>
        </w:rPr>
        <w:t>Overview of digital forensic techniques and cyber investigation tools relevant to law enforcement and intelligence analysis.</w:t>
      </w:r>
      <w:r w:rsidR="008C1761" w:rsidRPr="008C1761">
        <w:rPr>
          <w:b/>
          <w:bCs/>
          <w:iCs/>
          <w:sz w:val="20"/>
          <w:szCs w:val="20"/>
        </w:rPr>
        <w:t xml:space="preserve"> </w:t>
      </w:r>
    </w:p>
    <w:p w14:paraId="707EBB7C" w14:textId="20F74B17" w:rsidR="001957CA" w:rsidRPr="002450DD" w:rsidRDefault="008C1761" w:rsidP="008C1761">
      <w:pPr>
        <w:numPr>
          <w:ilvl w:val="0"/>
          <w:numId w:val="1"/>
        </w:numPr>
        <w:tabs>
          <w:tab w:val="num" w:pos="360"/>
        </w:tabs>
        <w:ind w:left="360" w:hanging="180"/>
        <w:rPr>
          <w:iCs/>
          <w:sz w:val="20"/>
          <w:szCs w:val="20"/>
        </w:rPr>
      </w:pPr>
      <w:r w:rsidRPr="001D6A7F">
        <w:rPr>
          <w:b/>
          <w:bCs/>
          <w:iCs/>
          <w:sz w:val="20"/>
          <w:szCs w:val="20"/>
        </w:rPr>
        <w:t>Scholarship Recipient,</w:t>
      </w:r>
      <w:r>
        <w:rPr>
          <w:b/>
          <w:bCs/>
          <w:iCs/>
          <w:sz w:val="20"/>
          <w:szCs w:val="20"/>
        </w:rPr>
        <w:t xml:space="preserve"> </w:t>
      </w:r>
      <w:r w:rsidRPr="001D6A7F">
        <w:rPr>
          <w:b/>
          <w:bCs/>
          <w:iCs/>
          <w:sz w:val="20"/>
          <w:szCs w:val="20"/>
        </w:rPr>
        <w:t>Vancouver Training Conference</w:t>
      </w:r>
      <w:r>
        <w:rPr>
          <w:b/>
          <w:bCs/>
          <w:iCs/>
          <w:sz w:val="20"/>
          <w:szCs w:val="20"/>
        </w:rPr>
        <w:t xml:space="preserve">, </w:t>
      </w:r>
      <w:r w:rsidRPr="00780872">
        <w:rPr>
          <w:iCs/>
          <w:sz w:val="20"/>
          <w:szCs w:val="20"/>
        </w:rPr>
        <w:t>IALEIA (2025)</w:t>
      </w:r>
      <w:r w:rsidRPr="00780872">
        <w:rPr>
          <w:b/>
          <w:bCs/>
          <w:iCs/>
          <w:sz w:val="20"/>
          <w:szCs w:val="20"/>
        </w:rPr>
        <w:t xml:space="preserve"> </w:t>
      </w:r>
      <w:r w:rsidRPr="001D6A7F">
        <w:rPr>
          <w:b/>
          <w:bCs/>
          <w:iCs/>
          <w:sz w:val="20"/>
          <w:szCs w:val="20"/>
        </w:rPr>
        <w:br/>
      </w:r>
      <w:r w:rsidRPr="001D6A7F">
        <w:rPr>
          <w:iCs/>
          <w:sz w:val="20"/>
          <w:szCs w:val="20"/>
        </w:rPr>
        <w:t>Awarded for essay on the role of professional networking in intelligence analysis.</w:t>
      </w:r>
    </w:p>
    <w:p w14:paraId="6DEE1C36" w14:textId="479163A5" w:rsidR="003C5BB2" w:rsidRPr="003C5BB2" w:rsidRDefault="00381E2E" w:rsidP="003C5BB2">
      <w:pPr>
        <w:pStyle w:val="Caption"/>
        <w:spacing w:before="240" w:after="120"/>
        <w:rPr>
          <w:sz w:val="20"/>
          <w:szCs w:val="20"/>
        </w:rPr>
      </w:pPr>
      <w:r w:rsidRPr="00B600C3">
        <w:rPr>
          <w:sz w:val="20"/>
          <w:szCs w:val="20"/>
        </w:rPr>
        <w:t>Education</w:t>
      </w:r>
    </w:p>
    <w:tbl>
      <w:tblPr>
        <w:tblW w:w="0" w:type="auto"/>
        <w:jc w:val="center"/>
        <w:tblLook w:val="0000" w:firstRow="0" w:lastRow="0" w:firstColumn="0" w:lastColumn="0" w:noHBand="0" w:noVBand="0"/>
      </w:tblPr>
      <w:tblGrid>
        <w:gridCol w:w="6786"/>
        <w:gridCol w:w="3042"/>
      </w:tblGrid>
      <w:tr w:rsidR="00381E2E" w:rsidRPr="00B600C3" w14:paraId="023AC914" w14:textId="77777777">
        <w:trPr>
          <w:cantSplit/>
          <w:trHeight w:val="765"/>
          <w:jc w:val="center"/>
        </w:trPr>
        <w:tc>
          <w:tcPr>
            <w:tcW w:w="6786" w:type="dxa"/>
          </w:tcPr>
          <w:p w14:paraId="1B0958DF" w14:textId="766147DB" w:rsidR="00381E2E" w:rsidRDefault="00FC71E7">
            <w:pPr>
              <w:rPr>
                <w:b/>
                <w:bCs/>
                <w:sz w:val="20"/>
                <w:szCs w:val="20"/>
              </w:rPr>
            </w:pPr>
            <w:r>
              <w:rPr>
                <w:b/>
                <w:bCs/>
                <w:sz w:val="20"/>
                <w:szCs w:val="20"/>
              </w:rPr>
              <w:t xml:space="preserve">Johns Hopkins - </w:t>
            </w:r>
            <w:r w:rsidR="00381E2E" w:rsidRPr="00B600C3">
              <w:rPr>
                <w:b/>
                <w:bCs/>
                <w:sz w:val="20"/>
                <w:szCs w:val="20"/>
              </w:rPr>
              <w:t>School of Advanced International Studies (SAIS)</w:t>
            </w:r>
          </w:p>
          <w:p w14:paraId="1F8DBDF3" w14:textId="0F94B326" w:rsidR="00381E2E" w:rsidRPr="00FC71E7" w:rsidRDefault="00381E2E">
            <w:r w:rsidRPr="005E27D4">
              <w:rPr>
                <w:b/>
                <w:bCs/>
                <w:sz w:val="20"/>
                <w:szCs w:val="20"/>
              </w:rPr>
              <w:t>Master of Arts in Global Risk</w:t>
            </w:r>
            <w:r w:rsidR="00FC71E7">
              <w:rPr>
                <w:b/>
                <w:bCs/>
                <w:sz w:val="20"/>
                <w:szCs w:val="20"/>
              </w:rPr>
              <w:t xml:space="preserve"> (</w:t>
            </w:r>
            <w:r w:rsidR="00FC71E7" w:rsidRPr="00FC71E7">
              <w:rPr>
                <w:b/>
                <w:bCs/>
                <w:sz w:val="20"/>
                <w:szCs w:val="20"/>
              </w:rPr>
              <w:t>GPA: 3.96/4.00</w:t>
            </w:r>
            <w:r w:rsidR="00FC71E7">
              <w:rPr>
                <w:b/>
                <w:bCs/>
                <w:sz w:val="20"/>
                <w:szCs w:val="20"/>
              </w:rPr>
              <w:t>)</w:t>
            </w:r>
          </w:p>
        </w:tc>
        <w:tc>
          <w:tcPr>
            <w:tcW w:w="3042" w:type="dxa"/>
          </w:tcPr>
          <w:p w14:paraId="1BBCD9DD" w14:textId="77777777" w:rsidR="00381E2E" w:rsidRDefault="00381E2E">
            <w:pPr>
              <w:pStyle w:val="Heading4"/>
              <w:rPr>
                <w:sz w:val="20"/>
                <w:szCs w:val="20"/>
              </w:rPr>
            </w:pPr>
            <w:r>
              <w:rPr>
                <w:sz w:val="20"/>
                <w:szCs w:val="20"/>
              </w:rPr>
              <w:t>May 2022</w:t>
            </w:r>
          </w:p>
          <w:p w14:paraId="36FEAACF" w14:textId="77777777" w:rsidR="00381E2E" w:rsidRPr="00B600C3" w:rsidRDefault="00381E2E">
            <w:pPr>
              <w:pStyle w:val="Heading4"/>
              <w:rPr>
                <w:sz w:val="20"/>
                <w:szCs w:val="20"/>
              </w:rPr>
            </w:pPr>
            <w:r w:rsidRPr="00B600C3">
              <w:rPr>
                <w:sz w:val="20"/>
                <w:szCs w:val="20"/>
              </w:rPr>
              <w:t>Washington, DC</w:t>
            </w:r>
          </w:p>
          <w:p w14:paraId="62EB9187" w14:textId="77777777" w:rsidR="00381E2E" w:rsidRPr="00B600C3" w:rsidRDefault="00381E2E">
            <w:pPr>
              <w:jc w:val="right"/>
              <w:rPr>
                <w:b/>
                <w:bCs/>
                <w:sz w:val="20"/>
                <w:szCs w:val="20"/>
              </w:rPr>
            </w:pPr>
            <w:r w:rsidRPr="00B600C3">
              <w:rPr>
                <w:b/>
                <w:bCs/>
                <w:sz w:val="20"/>
                <w:szCs w:val="20"/>
              </w:rPr>
              <w:t xml:space="preserve">  </w:t>
            </w:r>
          </w:p>
        </w:tc>
      </w:tr>
    </w:tbl>
    <w:p w14:paraId="632056D3" w14:textId="01DF97ED" w:rsidR="00381E2E" w:rsidRPr="00FC71E7" w:rsidRDefault="00381E2E" w:rsidP="00FC71E7">
      <w:pPr>
        <w:numPr>
          <w:ilvl w:val="0"/>
          <w:numId w:val="4"/>
        </w:numPr>
        <w:tabs>
          <w:tab w:val="clear" w:pos="720"/>
          <w:tab w:val="num" w:pos="360"/>
        </w:tabs>
        <w:ind w:left="360" w:hanging="180"/>
        <w:rPr>
          <w:iCs/>
          <w:sz w:val="20"/>
          <w:szCs w:val="20"/>
        </w:rPr>
      </w:pPr>
      <w:r w:rsidRPr="00021CCF">
        <w:rPr>
          <w:b/>
          <w:bCs/>
          <w:iCs/>
          <w:sz w:val="20"/>
          <w:szCs w:val="20"/>
        </w:rPr>
        <w:t>Selected Graduate Courses:</w:t>
      </w:r>
      <w:r w:rsidRPr="00B600C3">
        <w:rPr>
          <w:iCs/>
          <w:sz w:val="20"/>
          <w:szCs w:val="20"/>
        </w:rPr>
        <w:t xml:space="preserve"> Systematic Approaches to Understanding Risk, Statistical Analysis and Financial Management, Risk and Crisis in the Global Economy</w:t>
      </w:r>
      <w:r>
        <w:rPr>
          <w:iCs/>
          <w:sz w:val="20"/>
          <w:szCs w:val="20"/>
        </w:rPr>
        <w:t xml:space="preserve">, </w:t>
      </w:r>
      <w:r>
        <w:rPr>
          <w:sz w:val="20"/>
          <w:szCs w:val="20"/>
        </w:rPr>
        <w:t>Mathematics and Statistics</w:t>
      </w:r>
      <w:r w:rsidR="001957CA">
        <w:rPr>
          <w:sz w:val="20"/>
          <w:szCs w:val="20"/>
        </w:rPr>
        <w:t xml:space="preserve">. </w:t>
      </w:r>
      <w:r w:rsidRPr="00FC71E7">
        <w:rPr>
          <w:b/>
          <w:bCs/>
          <w:iCs/>
          <w:sz w:val="20"/>
          <w:szCs w:val="20"/>
        </w:rPr>
        <w:t>Capstone Project:</w:t>
      </w:r>
      <w:r w:rsidRPr="00FC71E7">
        <w:rPr>
          <w:iCs/>
          <w:sz w:val="20"/>
          <w:szCs w:val="20"/>
        </w:rPr>
        <w:t xml:space="preserve"> Climate Change and Risks of </w:t>
      </w:r>
      <w:r w:rsidRPr="00FC71E7">
        <w:rPr>
          <w:sz w:val="20"/>
          <w:szCs w:val="20"/>
        </w:rPr>
        <w:t xml:space="preserve">Conflict </w:t>
      </w:r>
      <w:r w:rsidRPr="00FC71E7">
        <w:rPr>
          <w:iCs/>
          <w:sz w:val="20"/>
          <w:szCs w:val="20"/>
        </w:rPr>
        <w:t xml:space="preserve">in the Horn of Africa </w:t>
      </w:r>
    </w:p>
    <w:p w14:paraId="22897EAF" w14:textId="77777777" w:rsidR="00381E2E" w:rsidRPr="00B600C3" w:rsidRDefault="00381E2E" w:rsidP="00381E2E">
      <w:pPr>
        <w:ind w:left="360"/>
        <w:rPr>
          <w:sz w:val="20"/>
          <w:szCs w:val="20"/>
        </w:rPr>
      </w:pPr>
    </w:p>
    <w:tbl>
      <w:tblPr>
        <w:tblW w:w="0" w:type="auto"/>
        <w:jc w:val="center"/>
        <w:tblLook w:val="0000" w:firstRow="0" w:lastRow="0" w:firstColumn="0" w:lastColumn="0" w:noHBand="0" w:noVBand="0"/>
      </w:tblPr>
      <w:tblGrid>
        <w:gridCol w:w="7488"/>
        <w:gridCol w:w="2340"/>
      </w:tblGrid>
      <w:tr w:rsidR="00381E2E" w:rsidRPr="00B600C3" w14:paraId="284BD968" w14:textId="77777777">
        <w:trPr>
          <w:cantSplit/>
          <w:trHeight w:val="520"/>
          <w:jc w:val="center"/>
        </w:trPr>
        <w:tc>
          <w:tcPr>
            <w:tcW w:w="7488" w:type="dxa"/>
          </w:tcPr>
          <w:p w14:paraId="0FCDD479" w14:textId="77777777" w:rsidR="00381E2E" w:rsidRPr="00B600C3" w:rsidRDefault="00381E2E">
            <w:pPr>
              <w:pStyle w:val="Heading5"/>
              <w:tabs>
                <w:tab w:val="center" w:pos="3456"/>
              </w:tabs>
              <w:rPr>
                <w:sz w:val="20"/>
                <w:szCs w:val="20"/>
              </w:rPr>
            </w:pPr>
            <w:r w:rsidRPr="00B600C3">
              <w:rPr>
                <w:sz w:val="20"/>
                <w:szCs w:val="20"/>
              </w:rPr>
              <w:t xml:space="preserve">University of Colorado </w:t>
            </w:r>
            <w:r w:rsidRPr="00B600C3">
              <w:rPr>
                <w:sz w:val="20"/>
                <w:szCs w:val="20"/>
              </w:rPr>
              <w:tab/>
            </w:r>
          </w:p>
          <w:p w14:paraId="665CD1B7" w14:textId="63C792E0" w:rsidR="00381E2E" w:rsidRPr="00381E2E" w:rsidRDefault="00381E2E">
            <w:pPr>
              <w:pStyle w:val="Heading5"/>
              <w:rPr>
                <w:sz w:val="20"/>
                <w:szCs w:val="20"/>
              </w:rPr>
            </w:pPr>
            <w:r w:rsidRPr="00B600C3">
              <w:rPr>
                <w:sz w:val="20"/>
                <w:szCs w:val="20"/>
              </w:rPr>
              <w:t>Bachelor of Arts, International Affairs</w:t>
            </w:r>
            <w:r w:rsidR="00FC71E7">
              <w:rPr>
                <w:sz w:val="20"/>
                <w:szCs w:val="20"/>
              </w:rPr>
              <w:t xml:space="preserve"> (</w:t>
            </w:r>
            <w:r w:rsidR="00FC71E7" w:rsidRPr="002B17D9">
              <w:rPr>
                <w:iCs/>
                <w:sz w:val="20"/>
                <w:szCs w:val="20"/>
              </w:rPr>
              <w:t>GPA: 3.15/4.00</w:t>
            </w:r>
            <w:r w:rsidR="00FC71E7">
              <w:rPr>
                <w:iCs/>
                <w:sz w:val="20"/>
                <w:szCs w:val="20"/>
              </w:rPr>
              <w:t>)</w:t>
            </w:r>
          </w:p>
          <w:p w14:paraId="11E63652" w14:textId="77777777" w:rsidR="00381E2E" w:rsidRPr="006524CF" w:rsidRDefault="00381E2E"/>
        </w:tc>
        <w:tc>
          <w:tcPr>
            <w:tcW w:w="2340" w:type="dxa"/>
          </w:tcPr>
          <w:p w14:paraId="47BE9D4A" w14:textId="77777777" w:rsidR="00381E2E" w:rsidRDefault="00381E2E">
            <w:pPr>
              <w:pStyle w:val="Heading4"/>
              <w:rPr>
                <w:sz w:val="20"/>
                <w:szCs w:val="20"/>
              </w:rPr>
            </w:pPr>
            <w:r w:rsidRPr="003D529E">
              <w:rPr>
                <w:sz w:val="20"/>
                <w:szCs w:val="20"/>
              </w:rPr>
              <w:t>Jul</w:t>
            </w:r>
            <w:r>
              <w:rPr>
                <w:sz w:val="20"/>
                <w:szCs w:val="20"/>
              </w:rPr>
              <w:t>.</w:t>
            </w:r>
            <w:r w:rsidRPr="003D529E">
              <w:rPr>
                <w:sz w:val="20"/>
                <w:szCs w:val="20"/>
              </w:rPr>
              <w:t xml:space="preserve"> 2019</w:t>
            </w:r>
          </w:p>
          <w:p w14:paraId="76A4EDE1" w14:textId="77777777" w:rsidR="00381E2E" w:rsidRPr="00B600C3" w:rsidRDefault="00381E2E">
            <w:pPr>
              <w:pStyle w:val="Heading4"/>
              <w:rPr>
                <w:sz w:val="20"/>
                <w:szCs w:val="20"/>
              </w:rPr>
            </w:pPr>
            <w:r w:rsidRPr="00B600C3">
              <w:rPr>
                <w:sz w:val="20"/>
                <w:szCs w:val="20"/>
              </w:rPr>
              <w:t xml:space="preserve">Boulder, Colorado </w:t>
            </w:r>
          </w:p>
          <w:p w14:paraId="3046D450" w14:textId="77777777" w:rsidR="00381E2E" w:rsidRPr="00B600C3" w:rsidRDefault="00381E2E">
            <w:pPr>
              <w:jc w:val="right"/>
              <w:rPr>
                <w:b/>
                <w:bCs/>
                <w:sz w:val="20"/>
                <w:szCs w:val="20"/>
              </w:rPr>
            </w:pPr>
          </w:p>
        </w:tc>
      </w:tr>
    </w:tbl>
    <w:p w14:paraId="00E0242E" w14:textId="77777777" w:rsidR="00381E2E" w:rsidRPr="00932F6E" w:rsidRDefault="00381E2E" w:rsidP="00381E2E">
      <w:pPr>
        <w:numPr>
          <w:ilvl w:val="0"/>
          <w:numId w:val="4"/>
        </w:numPr>
        <w:tabs>
          <w:tab w:val="clear" w:pos="720"/>
          <w:tab w:val="num" w:pos="360"/>
        </w:tabs>
        <w:ind w:left="360" w:hanging="180"/>
        <w:rPr>
          <w:iCs/>
          <w:sz w:val="20"/>
          <w:szCs w:val="20"/>
        </w:rPr>
      </w:pPr>
      <w:r w:rsidRPr="00932F6E">
        <w:rPr>
          <w:b/>
          <w:bCs/>
          <w:iCs/>
          <w:sz w:val="20"/>
          <w:szCs w:val="20"/>
        </w:rPr>
        <w:t>Minors and Concentration:</w:t>
      </w:r>
      <w:r w:rsidRPr="00B600C3">
        <w:rPr>
          <w:iCs/>
          <w:sz w:val="20"/>
          <w:szCs w:val="20"/>
        </w:rPr>
        <w:t xml:space="preserve"> Economics and Political Science</w:t>
      </w:r>
      <w:r>
        <w:rPr>
          <w:iCs/>
          <w:sz w:val="20"/>
          <w:szCs w:val="20"/>
        </w:rPr>
        <w:t xml:space="preserve">; </w:t>
      </w:r>
      <w:r w:rsidRPr="00932F6E">
        <w:rPr>
          <w:iCs/>
          <w:sz w:val="20"/>
          <w:szCs w:val="20"/>
        </w:rPr>
        <w:t>Latin America Geographic Concentration</w:t>
      </w:r>
    </w:p>
    <w:p w14:paraId="31D8B16F" w14:textId="38526461" w:rsidR="00381E2E" w:rsidRPr="001957CA" w:rsidRDefault="00381E2E" w:rsidP="001957CA">
      <w:pPr>
        <w:numPr>
          <w:ilvl w:val="0"/>
          <w:numId w:val="4"/>
        </w:numPr>
        <w:tabs>
          <w:tab w:val="clear" w:pos="720"/>
          <w:tab w:val="num" w:pos="360"/>
        </w:tabs>
        <w:ind w:left="374" w:hanging="187"/>
        <w:rPr>
          <w:iCs/>
          <w:sz w:val="20"/>
          <w:szCs w:val="20"/>
        </w:rPr>
      </w:pPr>
      <w:r w:rsidRPr="00932F6E">
        <w:rPr>
          <w:b/>
          <w:bCs/>
          <w:iCs/>
          <w:sz w:val="20"/>
          <w:szCs w:val="20"/>
        </w:rPr>
        <w:t>Education Abroad:</w:t>
      </w:r>
      <w:r>
        <w:rPr>
          <w:iCs/>
          <w:sz w:val="20"/>
          <w:szCs w:val="20"/>
        </w:rPr>
        <w:t xml:space="preserve"> </w:t>
      </w:r>
      <w:r w:rsidR="001957CA">
        <w:rPr>
          <w:iCs/>
          <w:sz w:val="20"/>
          <w:szCs w:val="20"/>
        </w:rPr>
        <w:t>I</w:t>
      </w:r>
      <w:r w:rsidRPr="001957CA">
        <w:rPr>
          <w:iCs/>
          <w:sz w:val="20"/>
          <w:szCs w:val="20"/>
        </w:rPr>
        <w:t xml:space="preserve">SA Education Abroad at Universidad Adolfo </w:t>
      </w:r>
      <w:proofErr w:type="spellStart"/>
      <w:r w:rsidRPr="001957CA">
        <w:rPr>
          <w:iCs/>
          <w:sz w:val="20"/>
          <w:szCs w:val="20"/>
        </w:rPr>
        <w:t>Ibàñez</w:t>
      </w:r>
      <w:proofErr w:type="spellEnd"/>
      <w:r w:rsidRPr="001957CA">
        <w:rPr>
          <w:iCs/>
          <w:sz w:val="20"/>
          <w:szCs w:val="20"/>
        </w:rPr>
        <w:t xml:space="preserve"> in Viña Del Mar, Chile</w:t>
      </w:r>
    </w:p>
    <w:p w14:paraId="27A50395" w14:textId="2EF6861C" w:rsidR="00A01833" w:rsidRPr="00B600C3" w:rsidRDefault="00A01833" w:rsidP="00A01833">
      <w:pPr>
        <w:ind w:left="360" w:hanging="180"/>
        <w:rPr>
          <w:b/>
          <w:bCs/>
          <w:sz w:val="20"/>
          <w:szCs w:val="20"/>
        </w:rPr>
      </w:pPr>
    </w:p>
    <w:sectPr w:rsidR="00A01833" w:rsidRPr="00B600C3" w:rsidSect="00801495">
      <w:headerReference w:type="default" r:id="rId8"/>
      <w:footerReference w:type="default" r:id="rId9"/>
      <w:pgSz w:w="12240" w:h="15840" w:code="1"/>
      <w:pgMar w:top="720" w:right="1152" w:bottom="720" w:left="1152"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3304" w14:textId="77777777" w:rsidR="008D29BE" w:rsidRDefault="008D29BE" w:rsidP="0036685F">
      <w:pPr>
        <w:pStyle w:val="Header"/>
      </w:pPr>
      <w:r>
        <w:separator/>
      </w:r>
    </w:p>
  </w:endnote>
  <w:endnote w:type="continuationSeparator" w:id="0">
    <w:p w14:paraId="2560C8F4" w14:textId="77777777" w:rsidR="008D29BE" w:rsidRDefault="008D29BE" w:rsidP="0036685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28A7F9BC" w14:paraId="573F10A9" w14:textId="77777777" w:rsidTr="28A7F9BC">
      <w:trPr>
        <w:trHeight w:val="300"/>
      </w:trPr>
      <w:tc>
        <w:tcPr>
          <w:tcW w:w="3310" w:type="dxa"/>
        </w:tcPr>
        <w:p w14:paraId="1BF77D5E" w14:textId="59B0712B" w:rsidR="28A7F9BC" w:rsidRDefault="28A7F9BC" w:rsidP="28A7F9BC">
          <w:pPr>
            <w:pStyle w:val="Header"/>
            <w:ind w:left="-115"/>
          </w:pPr>
        </w:p>
      </w:tc>
      <w:tc>
        <w:tcPr>
          <w:tcW w:w="3310" w:type="dxa"/>
        </w:tcPr>
        <w:p w14:paraId="449CBA0E" w14:textId="147ED713" w:rsidR="28A7F9BC" w:rsidRDefault="28A7F9BC" w:rsidP="28A7F9BC">
          <w:pPr>
            <w:pStyle w:val="Header"/>
            <w:jc w:val="center"/>
          </w:pPr>
        </w:p>
      </w:tc>
      <w:tc>
        <w:tcPr>
          <w:tcW w:w="3310" w:type="dxa"/>
        </w:tcPr>
        <w:p w14:paraId="0F58C0C0" w14:textId="1C6A9A0F" w:rsidR="28A7F9BC" w:rsidRDefault="28A7F9BC" w:rsidP="28A7F9BC">
          <w:pPr>
            <w:pStyle w:val="Header"/>
            <w:ind w:right="-115"/>
            <w:jc w:val="right"/>
          </w:pPr>
        </w:p>
      </w:tc>
    </w:tr>
  </w:tbl>
  <w:p w14:paraId="2C370E7E" w14:textId="673825AE" w:rsidR="28A7F9BC" w:rsidRDefault="28A7F9BC" w:rsidP="28A7F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EB84" w14:textId="77777777" w:rsidR="008D29BE" w:rsidRDefault="008D29BE" w:rsidP="0036685F">
      <w:pPr>
        <w:pStyle w:val="Header"/>
      </w:pPr>
      <w:r>
        <w:separator/>
      </w:r>
    </w:p>
  </w:footnote>
  <w:footnote w:type="continuationSeparator" w:id="0">
    <w:p w14:paraId="71049358" w14:textId="77777777" w:rsidR="008D29BE" w:rsidRDefault="008D29BE" w:rsidP="0036685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9828"/>
    </w:tblGrid>
    <w:tr w:rsidR="005C167B" w14:paraId="2AB7A73B" w14:textId="77777777">
      <w:trPr>
        <w:jc w:val="center"/>
      </w:trPr>
      <w:tc>
        <w:tcPr>
          <w:tcW w:w="9828" w:type="dxa"/>
          <w:vAlign w:val="bottom"/>
        </w:tcPr>
        <w:p w14:paraId="223BA5B6" w14:textId="77777777" w:rsidR="005C167B" w:rsidRPr="00E9324E" w:rsidRDefault="0098668E" w:rsidP="00361399">
          <w:pPr>
            <w:pStyle w:val="Heading6"/>
            <w:jc w:val="center"/>
            <w:rPr>
              <w:b/>
              <w:bCs/>
              <w:i w:val="0"/>
              <w:iCs w:val="0"/>
              <w:sz w:val="28"/>
              <w:szCs w:val="28"/>
            </w:rPr>
          </w:pPr>
          <w:r>
            <w:rPr>
              <w:b/>
              <w:bCs/>
              <w:i w:val="0"/>
              <w:smallCaps/>
              <w:sz w:val="28"/>
              <w:szCs w:val="28"/>
            </w:rPr>
            <w:t>Vincent Bejarano</w:t>
          </w:r>
        </w:p>
      </w:tc>
    </w:tr>
    <w:tr w:rsidR="005C167B" w:rsidRPr="00AA0FC5" w14:paraId="416DE881" w14:textId="77777777" w:rsidTr="003755BA">
      <w:trPr>
        <w:trHeight w:val="135"/>
        <w:jc w:val="center"/>
      </w:trPr>
      <w:tc>
        <w:tcPr>
          <w:tcW w:w="9828" w:type="dxa"/>
          <w:vAlign w:val="bottom"/>
        </w:tcPr>
        <w:p w14:paraId="56EA78D9" w14:textId="06056112" w:rsidR="005C167B" w:rsidRPr="00BF7124" w:rsidRDefault="001E58D7" w:rsidP="001E58D7">
          <w:pPr>
            <w:pBdr>
              <w:bottom w:val="single" w:sz="8" w:space="1" w:color="auto"/>
            </w:pBdr>
            <w:ind w:left="-162" w:right="-126"/>
            <w:jc w:val="center"/>
            <w:rPr>
              <w:b/>
              <w:sz w:val="22"/>
              <w:szCs w:val="22"/>
            </w:rPr>
          </w:pPr>
          <w:r>
            <w:rPr>
              <w:b/>
              <w:sz w:val="22"/>
              <w:szCs w:val="22"/>
            </w:rPr>
            <w:t>San Francisco, California, USA 94123</w:t>
          </w:r>
          <w:r w:rsidR="00C9039D">
            <w:rPr>
              <w:b/>
              <w:sz w:val="22"/>
              <w:szCs w:val="22"/>
            </w:rPr>
            <w:t xml:space="preserve"> </w:t>
          </w:r>
          <w:r w:rsidR="005C167B" w:rsidRPr="00BF7124">
            <w:rPr>
              <w:rFonts w:ascii="Wingdings 2" w:hAnsi="Wingdings 2" w:cs="Wingdings 2"/>
              <w:b/>
              <w:sz w:val="22"/>
              <w:szCs w:val="22"/>
            </w:rPr>
            <w:t></w:t>
          </w:r>
          <w:r w:rsidR="005C167B" w:rsidRPr="00BF7124">
            <w:rPr>
              <w:rFonts w:ascii="Wingdings 2" w:hAnsi="Wingdings 2" w:cs="Wingdings 2"/>
              <w:b/>
              <w:sz w:val="22"/>
              <w:szCs w:val="22"/>
            </w:rPr>
            <w:t></w:t>
          </w:r>
          <w:r w:rsidR="005C167B" w:rsidRPr="00BF7124">
            <w:rPr>
              <w:rFonts w:ascii="Wingdings 2" w:hAnsi="Wingdings 2" w:cs="Wingdings 2"/>
              <w:b/>
              <w:sz w:val="22"/>
              <w:szCs w:val="22"/>
            </w:rPr>
            <w:t></w:t>
          </w:r>
          <w:r w:rsidR="00B56856">
            <w:rPr>
              <w:b/>
              <w:sz w:val="22"/>
              <w:szCs w:val="22"/>
            </w:rPr>
            <w:t>Bejaranovincent@gmail.com</w:t>
          </w:r>
          <w:r w:rsidR="005C167B" w:rsidRPr="00BF7124">
            <w:rPr>
              <w:rFonts w:ascii="Wingdings 2" w:hAnsi="Wingdings 2" w:cs="Wingdings 2"/>
              <w:b/>
              <w:sz w:val="22"/>
              <w:szCs w:val="22"/>
            </w:rPr>
            <w:t></w:t>
          </w:r>
          <w:r w:rsidR="005C167B" w:rsidRPr="00BF7124">
            <w:rPr>
              <w:rFonts w:ascii="Wingdings 2" w:hAnsi="Wingdings 2" w:cs="Wingdings 2"/>
              <w:b/>
              <w:sz w:val="22"/>
              <w:szCs w:val="22"/>
            </w:rPr>
            <w:t></w:t>
          </w:r>
          <w:r w:rsidR="005C167B" w:rsidRPr="00BF7124">
            <w:rPr>
              <w:rFonts w:ascii="Wingdings 2" w:hAnsi="Wingdings 2" w:cs="Wingdings 2"/>
              <w:b/>
              <w:sz w:val="22"/>
              <w:szCs w:val="22"/>
            </w:rPr>
            <w:t></w:t>
          </w:r>
          <w:r w:rsidR="00B56856">
            <w:rPr>
              <w:b/>
              <w:bCs/>
              <w:sz w:val="22"/>
              <w:szCs w:val="22"/>
            </w:rPr>
            <w:t>970-481-5305</w:t>
          </w:r>
        </w:p>
      </w:tc>
    </w:tr>
  </w:tbl>
  <w:p w14:paraId="53128261" w14:textId="77777777" w:rsidR="005C167B" w:rsidRDefault="005C1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pt;height:91.65pt;visibility:visible;mso-wrap-style:square" o:bullet="t">
        <v:imagedata r:id="rId1" o:title=""/>
      </v:shape>
    </w:pict>
  </w:numPicBullet>
  <w:abstractNum w:abstractNumId="0" w15:restartNumberingAfterBreak="0">
    <w:nsid w:val="039F22EA"/>
    <w:multiLevelType w:val="hybridMultilevel"/>
    <w:tmpl w:val="6408F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540AD"/>
    <w:multiLevelType w:val="multilevel"/>
    <w:tmpl w:val="C24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56410"/>
    <w:multiLevelType w:val="hybridMultilevel"/>
    <w:tmpl w:val="71B469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994E67"/>
    <w:multiLevelType w:val="multilevel"/>
    <w:tmpl w:val="1EB8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C3D0D"/>
    <w:multiLevelType w:val="hybridMultilevel"/>
    <w:tmpl w:val="C00E640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E579F3"/>
    <w:multiLevelType w:val="multilevel"/>
    <w:tmpl w:val="4936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C4F3D"/>
    <w:multiLevelType w:val="hybridMultilevel"/>
    <w:tmpl w:val="5B36B310"/>
    <w:lvl w:ilvl="0" w:tplc="18CCCDBE">
      <w:start w:val="1"/>
      <w:numFmt w:val="bullet"/>
      <w:lvlText w:val=""/>
      <w:lvlPicBulletId w:val="0"/>
      <w:lvlJc w:val="left"/>
      <w:pPr>
        <w:tabs>
          <w:tab w:val="num" w:pos="720"/>
        </w:tabs>
        <w:ind w:left="720" w:hanging="360"/>
      </w:pPr>
      <w:rPr>
        <w:rFonts w:ascii="Symbol" w:hAnsi="Symbol" w:hint="default"/>
      </w:rPr>
    </w:lvl>
    <w:lvl w:ilvl="1" w:tplc="AA90F7E4" w:tentative="1">
      <w:start w:val="1"/>
      <w:numFmt w:val="bullet"/>
      <w:lvlText w:val=""/>
      <w:lvlJc w:val="left"/>
      <w:pPr>
        <w:tabs>
          <w:tab w:val="num" w:pos="1440"/>
        </w:tabs>
        <w:ind w:left="1440" w:hanging="360"/>
      </w:pPr>
      <w:rPr>
        <w:rFonts w:ascii="Symbol" w:hAnsi="Symbol" w:hint="default"/>
      </w:rPr>
    </w:lvl>
    <w:lvl w:ilvl="2" w:tplc="707EE9DA" w:tentative="1">
      <w:start w:val="1"/>
      <w:numFmt w:val="bullet"/>
      <w:lvlText w:val=""/>
      <w:lvlJc w:val="left"/>
      <w:pPr>
        <w:tabs>
          <w:tab w:val="num" w:pos="2160"/>
        </w:tabs>
        <w:ind w:left="2160" w:hanging="360"/>
      </w:pPr>
      <w:rPr>
        <w:rFonts w:ascii="Symbol" w:hAnsi="Symbol" w:hint="default"/>
      </w:rPr>
    </w:lvl>
    <w:lvl w:ilvl="3" w:tplc="FD36B03E" w:tentative="1">
      <w:start w:val="1"/>
      <w:numFmt w:val="bullet"/>
      <w:lvlText w:val=""/>
      <w:lvlJc w:val="left"/>
      <w:pPr>
        <w:tabs>
          <w:tab w:val="num" w:pos="2880"/>
        </w:tabs>
        <w:ind w:left="2880" w:hanging="360"/>
      </w:pPr>
      <w:rPr>
        <w:rFonts w:ascii="Symbol" w:hAnsi="Symbol" w:hint="default"/>
      </w:rPr>
    </w:lvl>
    <w:lvl w:ilvl="4" w:tplc="C74E95A0" w:tentative="1">
      <w:start w:val="1"/>
      <w:numFmt w:val="bullet"/>
      <w:lvlText w:val=""/>
      <w:lvlJc w:val="left"/>
      <w:pPr>
        <w:tabs>
          <w:tab w:val="num" w:pos="3600"/>
        </w:tabs>
        <w:ind w:left="3600" w:hanging="360"/>
      </w:pPr>
      <w:rPr>
        <w:rFonts w:ascii="Symbol" w:hAnsi="Symbol" w:hint="default"/>
      </w:rPr>
    </w:lvl>
    <w:lvl w:ilvl="5" w:tplc="BFC47212" w:tentative="1">
      <w:start w:val="1"/>
      <w:numFmt w:val="bullet"/>
      <w:lvlText w:val=""/>
      <w:lvlJc w:val="left"/>
      <w:pPr>
        <w:tabs>
          <w:tab w:val="num" w:pos="4320"/>
        </w:tabs>
        <w:ind w:left="4320" w:hanging="360"/>
      </w:pPr>
      <w:rPr>
        <w:rFonts w:ascii="Symbol" w:hAnsi="Symbol" w:hint="default"/>
      </w:rPr>
    </w:lvl>
    <w:lvl w:ilvl="6" w:tplc="7A3824CA" w:tentative="1">
      <w:start w:val="1"/>
      <w:numFmt w:val="bullet"/>
      <w:lvlText w:val=""/>
      <w:lvlJc w:val="left"/>
      <w:pPr>
        <w:tabs>
          <w:tab w:val="num" w:pos="5040"/>
        </w:tabs>
        <w:ind w:left="5040" w:hanging="360"/>
      </w:pPr>
      <w:rPr>
        <w:rFonts w:ascii="Symbol" w:hAnsi="Symbol" w:hint="default"/>
      </w:rPr>
    </w:lvl>
    <w:lvl w:ilvl="7" w:tplc="D898D286" w:tentative="1">
      <w:start w:val="1"/>
      <w:numFmt w:val="bullet"/>
      <w:lvlText w:val=""/>
      <w:lvlJc w:val="left"/>
      <w:pPr>
        <w:tabs>
          <w:tab w:val="num" w:pos="5760"/>
        </w:tabs>
        <w:ind w:left="5760" w:hanging="360"/>
      </w:pPr>
      <w:rPr>
        <w:rFonts w:ascii="Symbol" w:hAnsi="Symbol" w:hint="default"/>
      </w:rPr>
    </w:lvl>
    <w:lvl w:ilvl="8" w:tplc="D9F8BF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A764CA9"/>
    <w:multiLevelType w:val="hybridMultilevel"/>
    <w:tmpl w:val="58A65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A5D93"/>
    <w:multiLevelType w:val="hybridMultilevel"/>
    <w:tmpl w:val="2AFC8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822C10"/>
    <w:multiLevelType w:val="hybridMultilevel"/>
    <w:tmpl w:val="30FCA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C1DA0"/>
    <w:multiLevelType w:val="multilevel"/>
    <w:tmpl w:val="5F56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8040D"/>
    <w:multiLevelType w:val="multilevel"/>
    <w:tmpl w:val="133C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081400">
    <w:abstractNumId w:val="4"/>
  </w:num>
  <w:num w:numId="2" w16cid:durableId="387533464">
    <w:abstractNumId w:val="0"/>
  </w:num>
  <w:num w:numId="3" w16cid:durableId="1660036022">
    <w:abstractNumId w:val="9"/>
  </w:num>
  <w:num w:numId="4" w16cid:durableId="774449168">
    <w:abstractNumId w:val="8"/>
  </w:num>
  <w:num w:numId="5" w16cid:durableId="714619478">
    <w:abstractNumId w:val="7"/>
  </w:num>
  <w:num w:numId="6" w16cid:durableId="1094130927">
    <w:abstractNumId w:val="2"/>
  </w:num>
  <w:num w:numId="7" w16cid:durableId="961813772">
    <w:abstractNumId w:val="6"/>
  </w:num>
  <w:num w:numId="8" w16cid:durableId="293683224">
    <w:abstractNumId w:val="3"/>
  </w:num>
  <w:num w:numId="9" w16cid:durableId="613831638">
    <w:abstractNumId w:val="11"/>
  </w:num>
  <w:num w:numId="10" w16cid:durableId="1292132748">
    <w:abstractNumId w:val="10"/>
  </w:num>
  <w:num w:numId="11" w16cid:durableId="1358459221">
    <w:abstractNumId w:val="1"/>
  </w:num>
  <w:num w:numId="12" w16cid:durableId="995571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DAwNzS1NDOzMDZW0lEKTi0uzszPAykwrgUAxe3tRCwAAAA="/>
  </w:docVars>
  <w:rsids>
    <w:rsidRoot w:val="001C4B13"/>
    <w:rsid w:val="00011128"/>
    <w:rsid w:val="00011153"/>
    <w:rsid w:val="00013C3B"/>
    <w:rsid w:val="0002007A"/>
    <w:rsid w:val="00021095"/>
    <w:rsid w:val="00021CCF"/>
    <w:rsid w:val="000263B4"/>
    <w:rsid w:val="000533A4"/>
    <w:rsid w:val="00060DCA"/>
    <w:rsid w:val="00072026"/>
    <w:rsid w:val="00077D12"/>
    <w:rsid w:val="0008494F"/>
    <w:rsid w:val="00092A8B"/>
    <w:rsid w:val="000A499B"/>
    <w:rsid w:val="000C7217"/>
    <w:rsid w:val="000D4998"/>
    <w:rsid w:val="000D66BE"/>
    <w:rsid w:val="000F1EC2"/>
    <w:rsid w:val="000F2A2C"/>
    <w:rsid w:val="000F4893"/>
    <w:rsid w:val="001068B8"/>
    <w:rsid w:val="0011231C"/>
    <w:rsid w:val="00116F06"/>
    <w:rsid w:val="00130AE4"/>
    <w:rsid w:val="001354D1"/>
    <w:rsid w:val="001521D7"/>
    <w:rsid w:val="0017693D"/>
    <w:rsid w:val="001917AF"/>
    <w:rsid w:val="001957CA"/>
    <w:rsid w:val="001B162C"/>
    <w:rsid w:val="001C4B13"/>
    <w:rsid w:val="001C7C63"/>
    <w:rsid w:val="001D0940"/>
    <w:rsid w:val="001D6A7F"/>
    <w:rsid w:val="001E58D7"/>
    <w:rsid w:val="001F7D54"/>
    <w:rsid w:val="00203FF7"/>
    <w:rsid w:val="00206E8A"/>
    <w:rsid w:val="002157F9"/>
    <w:rsid w:val="00222AD2"/>
    <w:rsid w:val="00223134"/>
    <w:rsid w:val="002243D7"/>
    <w:rsid w:val="00224923"/>
    <w:rsid w:val="00226BEC"/>
    <w:rsid w:val="00234ECD"/>
    <w:rsid w:val="00241DED"/>
    <w:rsid w:val="002450DD"/>
    <w:rsid w:val="00251454"/>
    <w:rsid w:val="002616E0"/>
    <w:rsid w:val="0027378C"/>
    <w:rsid w:val="00276D0E"/>
    <w:rsid w:val="00281F2E"/>
    <w:rsid w:val="00284B1B"/>
    <w:rsid w:val="002917DB"/>
    <w:rsid w:val="002B17D9"/>
    <w:rsid w:val="002E2373"/>
    <w:rsid w:val="002E57A1"/>
    <w:rsid w:val="002E7F1B"/>
    <w:rsid w:val="0031046B"/>
    <w:rsid w:val="00333F91"/>
    <w:rsid w:val="00340033"/>
    <w:rsid w:val="00355ABD"/>
    <w:rsid w:val="00361399"/>
    <w:rsid w:val="003653B8"/>
    <w:rsid w:val="0036685F"/>
    <w:rsid w:val="003755BA"/>
    <w:rsid w:val="00381DB0"/>
    <w:rsid w:val="00381E2E"/>
    <w:rsid w:val="003936AC"/>
    <w:rsid w:val="003A55BF"/>
    <w:rsid w:val="003A7A1F"/>
    <w:rsid w:val="003B7180"/>
    <w:rsid w:val="003C5B6E"/>
    <w:rsid w:val="003C5BB2"/>
    <w:rsid w:val="003D529E"/>
    <w:rsid w:val="003E20A1"/>
    <w:rsid w:val="003E6678"/>
    <w:rsid w:val="003F68E6"/>
    <w:rsid w:val="00412561"/>
    <w:rsid w:val="00415C81"/>
    <w:rsid w:val="004163FA"/>
    <w:rsid w:val="00427BE8"/>
    <w:rsid w:val="00433EBB"/>
    <w:rsid w:val="00434F07"/>
    <w:rsid w:val="004417EB"/>
    <w:rsid w:val="00463396"/>
    <w:rsid w:val="004659CA"/>
    <w:rsid w:val="004661FA"/>
    <w:rsid w:val="0048553B"/>
    <w:rsid w:val="00494A46"/>
    <w:rsid w:val="004970B6"/>
    <w:rsid w:val="00497672"/>
    <w:rsid w:val="004A0107"/>
    <w:rsid w:val="004A1A2D"/>
    <w:rsid w:val="004B08FE"/>
    <w:rsid w:val="004B10F6"/>
    <w:rsid w:val="004C0380"/>
    <w:rsid w:val="004D38DD"/>
    <w:rsid w:val="004D3A57"/>
    <w:rsid w:val="004E3A2F"/>
    <w:rsid w:val="005027E6"/>
    <w:rsid w:val="00514DC5"/>
    <w:rsid w:val="00526043"/>
    <w:rsid w:val="00533ED2"/>
    <w:rsid w:val="005341DE"/>
    <w:rsid w:val="00542160"/>
    <w:rsid w:val="0055314B"/>
    <w:rsid w:val="005568A6"/>
    <w:rsid w:val="005618EA"/>
    <w:rsid w:val="00577C96"/>
    <w:rsid w:val="0058082F"/>
    <w:rsid w:val="00583151"/>
    <w:rsid w:val="00586C8F"/>
    <w:rsid w:val="00591160"/>
    <w:rsid w:val="005A23E3"/>
    <w:rsid w:val="005A34AD"/>
    <w:rsid w:val="005A713A"/>
    <w:rsid w:val="005B0D57"/>
    <w:rsid w:val="005B0E4A"/>
    <w:rsid w:val="005C167B"/>
    <w:rsid w:val="005C68C7"/>
    <w:rsid w:val="005D12B5"/>
    <w:rsid w:val="005D3BE7"/>
    <w:rsid w:val="005E0C8D"/>
    <w:rsid w:val="005E27D4"/>
    <w:rsid w:val="005E4663"/>
    <w:rsid w:val="005E48C6"/>
    <w:rsid w:val="005E79C1"/>
    <w:rsid w:val="005F68B9"/>
    <w:rsid w:val="00606235"/>
    <w:rsid w:val="0061128E"/>
    <w:rsid w:val="00630EA2"/>
    <w:rsid w:val="006524CF"/>
    <w:rsid w:val="006A316E"/>
    <w:rsid w:val="006A541F"/>
    <w:rsid w:val="006C22F2"/>
    <w:rsid w:val="006C62A5"/>
    <w:rsid w:val="006D11BE"/>
    <w:rsid w:val="006D415E"/>
    <w:rsid w:val="006D508D"/>
    <w:rsid w:val="006E16A3"/>
    <w:rsid w:val="006F29AF"/>
    <w:rsid w:val="006F351F"/>
    <w:rsid w:val="00705638"/>
    <w:rsid w:val="0070698E"/>
    <w:rsid w:val="00714B27"/>
    <w:rsid w:val="00715E09"/>
    <w:rsid w:val="0071658C"/>
    <w:rsid w:val="00725777"/>
    <w:rsid w:val="00732157"/>
    <w:rsid w:val="00734931"/>
    <w:rsid w:val="00741557"/>
    <w:rsid w:val="00751B16"/>
    <w:rsid w:val="00752847"/>
    <w:rsid w:val="00756B9B"/>
    <w:rsid w:val="00766B6F"/>
    <w:rsid w:val="00766CE6"/>
    <w:rsid w:val="0077216D"/>
    <w:rsid w:val="00780872"/>
    <w:rsid w:val="0078413F"/>
    <w:rsid w:val="0078768D"/>
    <w:rsid w:val="007B30BF"/>
    <w:rsid w:val="007B6901"/>
    <w:rsid w:val="007E618A"/>
    <w:rsid w:val="007F1253"/>
    <w:rsid w:val="007F2D7A"/>
    <w:rsid w:val="007F3766"/>
    <w:rsid w:val="007F64BF"/>
    <w:rsid w:val="00801495"/>
    <w:rsid w:val="00807FFB"/>
    <w:rsid w:val="00821F0D"/>
    <w:rsid w:val="008307B6"/>
    <w:rsid w:val="00837AF2"/>
    <w:rsid w:val="00845921"/>
    <w:rsid w:val="008505E6"/>
    <w:rsid w:val="008529E9"/>
    <w:rsid w:val="00866EE3"/>
    <w:rsid w:val="008677F5"/>
    <w:rsid w:val="008740CC"/>
    <w:rsid w:val="008867CE"/>
    <w:rsid w:val="00895AE8"/>
    <w:rsid w:val="008A3B77"/>
    <w:rsid w:val="008A4C5E"/>
    <w:rsid w:val="008B6B72"/>
    <w:rsid w:val="008B6E02"/>
    <w:rsid w:val="008C1761"/>
    <w:rsid w:val="008C5CF3"/>
    <w:rsid w:val="008D1935"/>
    <w:rsid w:val="008D29BE"/>
    <w:rsid w:val="008E7D14"/>
    <w:rsid w:val="008F2D65"/>
    <w:rsid w:val="009012B6"/>
    <w:rsid w:val="0090249D"/>
    <w:rsid w:val="00903FFF"/>
    <w:rsid w:val="00907F4E"/>
    <w:rsid w:val="00925480"/>
    <w:rsid w:val="00932F6E"/>
    <w:rsid w:val="009503D8"/>
    <w:rsid w:val="009546FE"/>
    <w:rsid w:val="0097276C"/>
    <w:rsid w:val="00981F82"/>
    <w:rsid w:val="00982B1E"/>
    <w:rsid w:val="0098371A"/>
    <w:rsid w:val="0098668E"/>
    <w:rsid w:val="00991BD7"/>
    <w:rsid w:val="00996064"/>
    <w:rsid w:val="009B10FF"/>
    <w:rsid w:val="009C5EF3"/>
    <w:rsid w:val="009C7BED"/>
    <w:rsid w:val="009C7E40"/>
    <w:rsid w:val="009D1144"/>
    <w:rsid w:val="009D1714"/>
    <w:rsid w:val="009E7542"/>
    <w:rsid w:val="009F1255"/>
    <w:rsid w:val="009F192C"/>
    <w:rsid w:val="009F3B46"/>
    <w:rsid w:val="009F7EAF"/>
    <w:rsid w:val="00A01833"/>
    <w:rsid w:val="00A06EE3"/>
    <w:rsid w:val="00A11233"/>
    <w:rsid w:val="00A62210"/>
    <w:rsid w:val="00A9230D"/>
    <w:rsid w:val="00A966B4"/>
    <w:rsid w:val="00AA0782"/>
    <w:rsid w:val="00AA0E26"/>
    <w:rsid w:val="00AA0FC5"/>
    <w:rsid w:val="00AA12B7"/>
    <w:rsid w:val="00AA1E5B"/>
    <w:rsid w:val="00AB3E28"/>
    <w:rsid w:val="00AB77E4"/>
    <w:rsid w:val="00AC36FC"/>
    <w:rsid w:val="00AD33DC"/>
    <w:rsid w:val="00AD5222"/>
    <w:rsid w:val="00AD6004"/>
    <w:rsid w:val="00B06233"/>
    <w:rsid w:val="00B208A7"/>
    <w:rsid w:val="00B2471F"/>
    <w:rsid w:val="00B25E1B"/>
    <w:rsid w:val="00B37CD3"/>
    <w:rsid w:val="00B50F37"/>
    <w:rsid w:val="00B56856"/>
    <w:rsid w:val="00B600C3"/>
    <w:rsid w:val="00B72FC5"/>
    <w:rsid w:val="00B75163"/>
    <w:rsid w:val="00B819A7"/>
    <w:rsid w:val="00B942E4"/>
    <w:rsid w:val="00BA16B3"/>
    <w:rsid w:val="00BA663F"/>
    <w:rsid w:val="00BB75C2"/>
    <w:rsid w:val="00BC397E"/>
    <w:rsid w:val="00BC42EE"/>
    <w:rsid w:val="00BE2A90"/>
    <w:rsid w:val="00BE5DFE"/>
    <w:rsid w:val="00BF5CFE"/>
    <w:rsid w:val="00BF7124"/>
    <w:rsid w:val="00C11D9B"/>
    <w:rsid w:val="00C13A65"/>
    <w:rsid w:val="00C20F88"/>
    <w:rsid w:val="00C31B0D"/>
    <w:rsid w:val="00C340EE"/>
    <w:rsid w:val="00C45267"/>
    <w:rsid w:val="00C532AB"/>
    <w:rsid w:val="00C54098"/>
    <w:rsid w:val="00C54218"/>
    <w:rsid w:val="00C66660"/>
    <w:rsid w:val="00C73489"/>
    <w:rsid w:val="00C75E68"/>
    <w:rsid w:val="00C9039D"/>
    <w:rsid w:val="00CA4D05"/>
    <w:rsid w:val="00CB71D8"/>
    <w:rsid w:val="00CB7A5B"/>
    <w:rsid w:val="00CC14F7"/>
    <w:rsid w:val="00CC1DE9"/>
    <w:rsid w:val="00CC6902"/>
    <w:rsid w:val="00CC6D17"/>
    <w:rsid w:val="00CE0750"/>
    <w:rsid w:val="00CE60E0"/>
    <w:rsid w:val="00D00346"/>
    <w:rsid w:val="00D030BE"/>
    <w:rsid w:val="00D122C8"/>
    <w:rsid w:val="00D17A07"/>
    <w:rsid w:val="00D24E73"/>
    <w:rsid w:val="00D26976"/>
    <w:rsid w:val="00D345F6"/>
    <w:rsid w:val="00D41090"/>
    <w:rsid w:val="00D451CD"/>
    <w:rsid w:val="00D5100A"/>
    <w:rsid w:val="00D564D1"/>
    <w:rsid w:val="00D611B6"/>
    <w:rsid w:val="00D9094D"/>
    <w:rsid w:val="00D95785"/>
    <w:rsid w:val="00DA6BD5"/>
    <w:rsid w:val="00DC3A55"/>
    <w:rsid w:val="00DE741B"/>
    <w:rsid w:val="00DF099D"/>
    <w:rsid w:val="00DF3F1F"/>
    <w:rsid w:val="00E06B89"/>
    <w:rsid w:val="00E31841"/>
    <w:rsid w:val="00E35404"/>
    <w:rsid w:val="00E40B91"/>
    <w:rsid w:val="00E41382"/>
    <w:rsid w:val="00E43E1D"/>
    <w:rsid w:val="00E443C6"/>
    <w:rsid w:val="00E52719"/>
    <w:rsid w:val="00E53D85"/>
    <w:rsid w:val="00E623FD"/>
    <w:rsid w:val="00E90106"/>
    <w:rsid w:val="00E9324E"/>
    <w:rsid w:val="00E97409"/>
    <w:rsid w:val="00EB0F77"/>
    <w:rsid w:val="00EB3304"/>
    <w:rsid w:val="00EF4B4F"/>
    <w:rsid w:val="00F02412"/>
    <w:rsid w:val="00F052C1"/>
    <w:rsid w:val="00F0566E"/>
    <w:rsid w:val="00F24069"/>
    <w:rsid w:val="00F37C6A"/>
    <w:rsid w:val="00F50560"/>
    <w:rsid w:val="00F543EE"/>
    <w:rsid w:val="00F578C5"/>
    <w:rsid w:val="00F61252"/>
    <w:rsid w:val="00F63EE4"/>
    <w:rsid w:val="00F67940"/>
    <w:rsid w:val="00F7085C"/>
    <w:rsid w:val="00F7392E"/>
    <w:rsid w:val="00F933AC"/>
    <w:rsid w:val="00F94A7E"/>
    <w:rsid w:val="00F96EAF"/>
    <w:rsid w:val="00FA3757"/>
    <w:rsid w:val="00FB252D"/>
    <w:rsid w:val="00FB463A"/>
    <w:rsid w:val="00FC0089"/>
    <w:rsid w:val="00FC6149"/>
    <w:rsid w:val="00FC71E7"/>
    <w:rsid w:val="00FD58C6"/>
    <w:rsid w:val="00FD7F25"/>
    <w:rsid w:val="00FE2F49"/>
    <w:rsid w:val="00FE6EDF"/>
    <w:rsid w:val="28A7F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4EBAD23"/>
  <w15:chartTrackingRefBased/>
  <w15:docId w15:val="{610AB6AB-2172-464E-A882-1FE6C36D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right"/>
      <w:outlineLvl w:val="3"/>
    </w:pPr>
    <w:rPr>
      <w:b/>
      <w:bCs/>
      <w:sz w:val="22"/>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right"/>
      <w:outlineLvl w:val="5"/>
    </w:pPr>
    <w:rPr>
      <w:i/>
      <w:iCs/>
    </w:rPr>
  </w:style>
  <w:style w:type="paragraph" w:styleId="Heading7">
    <w:name w:val="heading 7"/>
    <w:basedOn w:val="Normal"/>
    <w:next w:val="Normal"/>
    <w:qFormat/>
    <w:pPr>
      <w:keepNext/>
      <w:jc w:val="right"/>
      <w:outlineLvl w:val="6"/>
    </w:pPr>
    <w:rPr>
      <w:color w:val="339966"/>
    </w:rPr>
  </w:style>
  <w:style w:type="paragraph" w:styleId="Heading8">
    <w:name w:val="heading 8"/>
    <w:basedOn w:val="Normal"/>
    <w:next w:val="Normal"/>
    <w:qFormat/>
    <w:pPr>
      <w:keepNext/>
      <w:spacing w:before="120"/>
      <w:outlineLvl w:val="7"/>
    </w:pPr>
    <w:rPr>
      <w:b/>
      <w:bCs/>
      <w:color w:val="339966"/>
      <w:sz w:val="22"/>
    </w:rPr>
  </w:style>
  <w:style w:type="paragraph" w:styleId="Heading9">
    <w:name w:val="heading 9"/>
    <w:basedOn w:val="Normal"/>
    <w:next w:val="Normal"/>
    <w:qFormat/>
    <w:pPr>
      <w:keepNext/>
      <w:spacing w:before="120"/>
      <w:jc w:val="right"/>
      <w:outlineLvl w:val="8"/>
    </w:pPr>
    <w:rPr>
      <w:b/>
      <w:bCs/>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smallCaps/>
    </w:rPr>
  </w:style>
  <w:style w:type="character" w:styleId="Hyperlink">
    <w:name w:val="Hyperlink"/>
    <w:rPr>
      <w:color w:val="0000FF"/>
      <w:u w:val="single"/>
    </w:rPr>
  </w:style>
  <w:style w:type="paragraph" w:styleId="BalloonText">
    <w:name w:val="Balloon Text"/>
    <w:basedOn w:val="Normal"/>
    <w:semiHidden/>
    <w:rsid w:val="00BF7124"/>
    <w:rPr>
      <w:rFonts w:ascii="Tahoma" w:hAnsi="Tahoma" w:cs="Tahoma"/>
      <w:sz w:val="16"/>
      <w:szCs w:val="16"/>
    </w:rPr>
  </w:style>
  <w:style w:type="paragraph" w:styleId="Header">
    <w:name w:val="header"/>
    <w:basedOn w:val="Normal"/>
    <w:rsid w:val="00077D12"/>
    <w:pPr>
      <w:tabs>
        <w:tab w:val="center" w:pos="4320"/>
        <w:tab w:val="right" w:pos="8640"/>
      </w:tabs>
    </w:pPr>
  </w:style>
  <w:style w:type="paragraph" w:styleId="Footer">
    <w:name w:val="footer"/>
    <w:basedOn w:val="Normal"/>
    <w:rsid w:val="00077D12"/>
    <w:pPr>
      <w:tabs>
        <w:tab w:val="center" w:pos="4320"/>
        <w:tab w:val="right" w:pos="864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54D1"/>
    <w:rPr>
      <w:color w:val="605E5C"/>
      <w:shd w:val="clear" w:color="auto" w:fill="E1DFDD"/>
    </w:rPr>
  </w:style>
  <w:style w:type="paragraph" w:styleId="NormalWeb">
    <w:name w:val="Normal (Web)"/>
    <w:basedOn w:val="Normal"/>
    <w:uiPriority w:val="99"/>
    <w:unhideWhenUsed/>
    <w:rsid w:val="004163FA"/>
    <w:pPr>
      <w:spacing w:before="100" w:beforeAutospacing="1" w:after="100" w:afterAutospacing="1"/>
    </w:pPr>
  </w:style>
  <w:style w:type="paragraph" w:styleId="ListParagraph">
    <w:name w:val="List Paragraph"/>
    <w:basedOn w:val="Normal"/>
    <w:uiPriority w:val="34"/>
    <w:qFormat/>
    <w:rsid w:val="005A34AD"/>
    <w:pPr>
      <w:ind w:left="720"/>
      <w:contextualSpacing/>
    </w:pPr>
  </w:style>
  <w:style w:type="character" w:styleId="Strong">
    <w:name w:val="Strong"/>
    <w:basedOn w:val="DefaultParagraphFont"/>
    <w:uiPriority w:val="22"/>
    <w:qFormat/>
    <w:rsid w:val="00D00346"/>
    <w:rPr>
      <w:b/>
      <w:bCs/>
    </w:rPr>
  </w:style>
  <w:style w:type="character" w:styleId="Emphasis">
    <w:name w:val="Emphasis"/>
    <w:basedOn w:val="DefaultParagraphFont"/>
    <w:uiPriority w:val="20"/>
    <w:qFormat/>
    <w:rsid w:val="00D00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166">
      <w:bodyDiv w:val="1"/>
      <w:marLeft w:val="0"/>
      <w:marRight w:val="0"/>
      <w:marTop w:val="0"/>
      <w:marBottom w:val="0"/>
      <w:divBdr>
        <w:top w:val="none" w:sz="0" w:space="0" w:color="auto"/>
        <w:left w:val="none" w:sz="0" w:space="0" w:color="auto"/>
        <w:bottom w:val="none" w:sz="0" w:space="0" w:color="auto"/>
        <w:right w:val="none" w:sz="0" w:space="0" w:color="auto"/>
      </w:divBdr>
    </w:div>
    <w:div w:id="46491498">
      <w:bodyDiv w:val="1"/>
      <w:marLeft w:val="0"/>
      <w:marRight w:val="0"/>
      <w:marTop w:val="0"/>
      <w:marBottom w:val="0"/>
      <w:divBdr>
        <w:top w:val="none" w:sz="0" w:space="0" w:color="auto"/>
        <w:left w:val="none" w:sz="0" w:space="0" w:color="auto"/>
        <w:bottom w:val="none" w:sz="0" w:space="0" w:color="auto"/>
        <w:right w:val="none" w:sz="0" w:space="0" w:color="auto"/>
      </w:divBdr>
    </w:div>
    <w:div w:id="54090986">
      <w:bodyDiv w:val="1"/>
      <w:marLeft w:val="0"/>
      <w:marRight w:val="0"/>
      <w:marTop w:val="0"/>
      <w:marBottom w:val="0"/>
      <w:divBdr>
        <w:top w:val="none" w:sz="0" w:space="0" w:color="auto"/>
        <w:left w:val="none" w:sz="0" w:space="0" w:color="auto"/>
        <w:bottom w:val="none" w:sz="0" w:space="0" w:color="auto"/>
        <w:right w:val="none" w:sz="0" w:space="0" w:color="auto"/>
      </w:divBdr>
    </w:div>
    <w:div w:id="87237108">
      <w:bodyDiv w:val="1"/>
      <w:marLeft w:val="0"/>
      <w:marRight w:val="0"/>
      <w:marTop w:val="0"/>
      <w:marBottom w:val="0"/>
      <w:divBdr>
        <w:top w:val="none" w:sz="0" w:space="0" w:color="auto"/>
        <w:left w:val="none" w:sz="0" w:space="0" w:color="auto"/>
        <w:bottom w:val="none" w:sz="0" w:space="0" w:color="auto"/>
        <w:right w:val="none" w:sz="0" w:space="0" w:color="auto"/>
      </w:divBdr>
    </w:div>
    <w:div w:id="103619834">
      <w:bodyDiv w:val="1"/>
      <w:marLeft w:val="0"/>
      <w:marRight w:val="0"/>
      <w:marTop w:val="0"/>
      <w:marBottom w:val="0"/>
      <w:divBdr>
        <w:top w:val="none" w:sz="0" w:space="0" w:color="auto"/>
        <w:left w:val="none" w:sz="0" w:space="0" w:color="auto"/>
        <w:bottom w:val="none" w:sz="0" w:space="0" w:color="auto"/>
        <w:right w:val="none" w:sz="0" w:space="0" w:color="auto"/>
      </w:divBdr>
    </w:div>
    <w:div w:id="142625078">
      <w:bodyDiv w:val="1"/>
      <w:marLeft w:val="0"/>
      <w:marRight w:val="0"/>
      <w:marTop w:val="0"/>
      <w:marBottom w:val="0"/>
      <w:divBdr>
        <w:top w:val="none" w:sz="0" w:space="0" w:color="auto"/>
        <w:left w:val="none" w:sz="0" w:space="0" w:color="auto"/>
        <w:bottom w:val="none" w:sz="0" w:space="0" w:color="auto"/>
        <w:right w:val="none" w:sz="0" w:space="0" w:color="auto"/>
      </w:divBdr>
    </w:div>
    <w:div w:id="152723727">
      <w:bodyDiv w:val="1"/>
      <w:marLeft w:val="0"/>
      <w:marRight w:val="0"/>
      <w:marTop w:val="0"/>
      <w:marBottom w:val="0"/>
      <w:divBdr>
        <w:top w:val="none" w:sz="0" w:space="0" w:color="auto"/>
        <w:left w:val="none" w:sz="0" w:space="0" w:color="auto"/>
        <w:bottom w:val="none" w:sz="0" w:space="0" w:color="auto"/>
        <w:right w:val="none" w:sz="0" w:space="0" w:color="auto"/>
      </w:divBdr>
    </w:div>
    <w:div w:id="193735947">
      <w:bodyDiv w:val="1"/>
      <w:marLeft w:val="0"/>
      <w:marRight w:val="0"/>
      <w:marTop w:val="0"/>
      <w:marBottom w:val="0"/>
      <w:divBdr>
        <w:top w:val="none" w:sz="0" w:space="0" w:color="auto"/>
        <w:left w:val="none" w:sz="0" w:space="0" w:color="auto"/>
        <w:bottom w:val="none" w:sz="0" w:space="0" w:color="auto"/>
        <w:right w:val="none" w:sz="0" w:space="0" w:color="auto"/>
      </w:divBdr>
    </w:div>
    <w:div w:id="360669973">
      <w:bodyDiv w:val="1"/>
      <w:marLeft w:val="0"/>
      <w:marRight w:val="0"/>
      <w:marTop w:val="0"/>
      <w:marBottom w:val="0"/>
      <w:divBdr>
        <w:top w:val="none" w:sz="0" w:space="0" w:color="auto"/>
        <w:left w:val="none" w:sz="0" w:space="0" w:color="auto"/>
        <w:bottom w:val="none" w:sz="0" w:space="0" w:color="auto"/>
        <w:right w:val="none" w:sz="0" w:space="0" w:color="auto"/>
      </w:divBdr>
    </w:div>
    <w:div w:id="459348448">
      <w:bodyDiv w:val="1"/>
      <w:marLeft w:val="0"/>
      <w:marRight w:val="0"/>
      <w:marTop w:val="0"/>
      <w:marBottom w:val="0"/>
      <w:divBdr>
        <w:top w:val="none" w:sz="0" w:space="0" w:color="auto"/>
        <w:left w:val="none" w:sz="0" w:space="0" w:color="auto"/>
        <w:bottom w:val="none" w:sz="0" w:space="0" w:color="auto"/>
        <w:right w:val="none" w:sz="0" w:space="0" w:color="auto"/>
      </w:divBdr>
    </w:div>
    <w:div w:id="502822427">
      <w:bodyDiv w:val="1"/>
      <w:marLeft w:val="0"/>
      <w:marRight w:val="0"/>
      <w:marTop w:val="0"/>
      <w:marBottom w:val="0"/>
      <w:divBdr>
        <w:top w:val="none" w:sz="0" w:space="0" w:color="auto"/>
        <w:left w:val="none" w:sz="0" w:space="0" w:color="auto"/>
        <w:bottom w:val="none" w:sz="0" w:space="0" w:color="auto"/>
        <w:right w:val="none" w:sz="0" w:space="0" w:color="auto"/>
      </w:divBdr>
    </w:div>
    <w:div w:id="523976455">
      <w:bodyDiv w:val="1"/>
      <w:marLeft w:val="0"/>
      <w:marRight w:val="0"/>
      <w:marTop w:val="0"/>
      <w:marBottom w:val="0"/>
      <w:divBdr>
        <w:top w:val="none" w:sz="0" w:space="0" w:color="auto"/>
        <w:left w:val="none" w:sz="0" w:space="0" w:color="auto"/>
        <w:bottom w:val="none" w:sz="0" w:space="0" w:color="auto"/>
        <w:right w:val="none" w:sz="0" w:space="0" w:color="auto"/>
      </w:divBdr>
    </w:div>
    <w:div w:id="533423553">
      <w:bodyDiv w:val="1"/>
      <w:marLeft w:val="0"/>
      <w:marRight w:val="0"/>
      <w:marTop w:val="0"/>
      <w:marBottom w:val="0"/>
      <w:divBdr>
        <w:top w:val="none" w:sz="0" w:space="0" w:color="auto"/>
        <w:left w:val="none" w:sz="0" w:space="0" w:color="auto"/>
        <w:bottom w:val="none" w:sz="0" w:space="0" w:color="auto"/>
        <w:right w:val="none" w:sz="0" w:space="0" w:color="auto"/>
      </w:divBdr>
    </w:div>
    <w:div w:id="1178040713">
      <w:bodyDiv w:val="1"/>
      <w:marLeft w:val="0"/>
      <w:marRight w:val="0"/>
      <w:marTop w:val="0"/>
      <w:marBottom w:val="0"/>
      <w:divBdr>
        <w:top w:val="none" w:sz="0" w:space="0" w:color="auto"/>
        <w:left w:val="none" w:sz="0" w:space="0" w:color="auto"/>
        <w:bottom w:val="none" w:sz="0" w:space="0" w:color="auto"/>
        <w:right w:val="none" w:sz="0" w:space="0" w:color="auto"/>
      </w:divBdr>
    </w:div>
    <w:div w:id="1447851032">
      <w:bodyDiv w:val="1"/>
      <w:marLeft w:val="0"/>
      <w:marRight w:val="0"/>
      <w:marTop w:val="0"/>
      <w:marBottom w:val="0"/>
      <w:divBdr>
        <w:top w:val="none" w:sz="0" w:space="0" w:color="auto"/>
        <w:left w:val="none" w:sz="0" w:space="0" w:color="auto"/>
        <w:bottom w:val="none" w:sz="0" w:space="0" w:color="auto"/>
        <w:right w:val="none" w:sz="0" w:space="0" w:color="auto"/>
      </w:divBdr>
    </w:div>
    <w:div w:id="1685591847">
      <w:bodyDiv w:val="1"/>
      <w:marLeft w:val="0"/>
      <w:marRight w:val="0"/>
      <w:marTop w:val="0"/>
      <w:marBottom w:val="0"/>
      <w:divBdr>
        <w:top w:val="none" w:sz="0" w:space="0" w:color="auto"/>
        <w:left w:val="none" w:sz="0" w:space="0" w:color="auto"/>
        <w:bottom w:val="none" w:sz="0" w:space="0" w:color="auto"/>
        <w:right w:val="none" w:sz="0" w:space="0" w:color="auto"/>
      </w:divBdr>
    </w:div>
    <w:div w:id="1722900047">
      <w:bodyDiv w:val="1"/>
      <w:marLeft w:val="0"/>
      <w:marRight w:val="0"/>
      <w:marTop w:val="0"/>
      <w:marBottom w:val="0"/>
      <w:divBdr>
        <w:top w:val="none" w:sz="0" w:space="0" w:color="auto"/>
        <w:left w:val="none" w:sz="0" w:space="0" w:color="auto"/>
        <w:bottom w:val="none" w:sz="0" w:space="0" w:color="auto"/>
        <w:right w:val="none" w:sz="0" w:space="0" w:color="auto"/>
      </w:divBdr>
    </w:div>
    <w:div w:id="1735616985">
      <w:bodyDiv w:val="1"/>
      <w:marLeft w:val="0"/>
      <w:marRight w:val="0"/>
      <w:marTop w:val="0"/>
      <w:marBottom w:val="0"/>
      <w:divBdr>
        <w:top w:val="none" w:sz="0" w:space="0" w:color="auto"/>
        <w:left w:val="none" w:sz="0" w:space="0" w:color="auto"/>
        <w:bottom w:val="none" w:sz="0" w:space="0" w:color="auto"/>
        <w:right w:val="none" w:sz="0" w:space="0" w:color="auto"/>
      </w:divBdr>
    </w:div>
    <w:div w:id="1749377392">
      <w:bodyDiv w:val="1"/>
      <w:marLeft w:val="0"/>
      <w:marRight w:val="0"/>
      <w:marTop w:val="0"/>
      <w:marBottom w:val="0"/>
      <w:divBdr>
        <w:top w:val="none" w:sz="0" w:space="0" w:color="auto"/>
        <w:left w:val="none" w:sz="0" w:space="0" w:color="auto"/>
        <w:bottom w:val="none" w:sz="0" w:space="0" w:color="auto"/>
        <w:right w:val="none" w:sz="0" w:space="0" w:color="auto"/>
      </w:divBdr>
    </w:div>
    <w:div w:id="20274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ckenzie\Desktop\SAIS%20Resum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1E6E-70B2-44C5-9083-CDB574D5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SAIS Resume Template</Template>
  <TotalTime>0</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Address 1</vt:lpstr>
    </vt:vector>
  </TitlesOfParts>
  <Company>JHU-SAIS</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1</dc:title>
  <dc:subject/>
  <dc:creator>mmckenzie</dc:creator>
  <cp:keywords/>
  <dc:description/>
  <cp:lastModifiedBy>Vincent Bejarano</cp:lastModifiedBy>
  <cp:revision>2</cp:revision>
  <cp:lastPrinted>2025-06-30T14:00:00Z</cp:lastPrinted>
  <dcterms:created xsi:type="dcterms:W3CDTF">2025-07-08T17:55:00Z</dcterms:created>
  <dcterms:modified xsi:type="dcterms:W3CDTF">2025-07-08T17:55:00Z</dcterms:modified>
</cp:coreProperties>
</file>